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495F073D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  <w:t>S5-24</w:t>
      </w:r>
      <w:r w:rsidR="008E2B9D">
        <w:rPr>
          <w:b/>
          <w:i/>
          <w:noProof/>
          <w:sz w:val="28"/>
        </w:rPr>
        <w:t>5561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79FD09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CB7768">
        <w:rPr>
          <w:rFonts w:ascii="Arial" w:hAnsi="Arial"/>
          <w:b/>
          <w:lang w:val="en-US"/>
        </w:rPr>
        <w:tab/>
        <w:t>Amdocs</w:t>
      </w:r>
      <w:r>
        <w:rPr>
          <w:rFonts w:ascii="Arial" w:hAnsi="Arial"/>
          <w:b/>
          <w:lang w:val="en-US"/>
        </w:rPr>
        <w:tab/>
      </w:r>
    </w:p>
    <w:p w14:paraId="2C458A19" w14:textId="5F4695F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948BB">
        <w:rPr>
          <w:rFonts w:ascii="Arial" w:hAnsi="Arial" w:cs="Arial"/>
          <w:b/>
        </w:rPr>
        <w:t>Reference Points N107 and N108</w:t>
      </w:r>
    </w:p>
    <w:p w14:paraId="02CFB229" w14:textId="31F43C3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1BFEFC6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32E48">
        <w:rPr>
          <w:rFonts w:ascii="Arial" w:hAnsi="Arial"/>
          <w:b/>
        </w:rPr>
        <w:t>7.3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599771C4" w:rsidR="00C022E3" w:rsidRDefault="00D57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discuss </w:t>
      </w:r>
      <w:r w:rsidR="001948BB">
        <w:rPr>
          <w:b/>
          <w:i/>
        </w:rPr>
        <w:t xml:space="preserve">and approve </w:t>
      </w:r>
      <w:r>
        <w:rPr>
          <w:b/>
          <w:i/>
        </w:rPr>
        <w:t>the proposal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B50342A" w14:textId="1F846706" w:rsidR="00CB7768" w:rsidRDefault="00E61CDF" w:rsidP="00CB7768">
      <w:pPr>
        <w:tabs>
          <w:tab w:val="left" w:pos="851"/>
        </w:tabs>
        <w:ind w:left="851" w:hanging="851"/>
      </w:pPr>
      <w:r>
        <w:t>[</w:t>
      </w:r>
      <w:r w:rsidR="00CB7768" w:rsidRPr="00FF1EAA">
        <w:t>1]</w:t>
      </w:r>
      <w:r w:rsidR="00CB7768" w:rsidRPr="00FF1EAA">
        <w:tab/>
        <w:t>3GPP T</w:t>
      </w:r>
      <w:r w:rsidR="00CB7768">
        <w:t>S</w:t>
      </w:r>
      <w:r w:rsidR="00CB7768" w:rsidRPr="00FF1EAA">
        <w:t xml:space="preserve"> </w:t>
      </w:r>
      <w:r w:rsidR="00CB7768">
        <w:t>32</w:t>
      </w:r>
      <w:r w:rsidR="00CB7768" w:rsidRPr="00FF1EAA">
        <w:t>.</w:t>
      </w:r>
      <w:r w:rsidR="00CB7768">
        <w:t>255</w:t>
      </w:r>
      <w:r w:rsidR="00CB7768" w:rsidRPr="00FF1EAA">
        <w:t xml:space="preserve"> </w:t>
      </w:r>
      <w:r w:rsidR="00CB7768" w:rsidRPr="0025163A">
        <w:t>Charging management; 5G data connectivity domain charging; Stage 2</w:t>
      </w:r>
    </w:p>
    <w:p w14:paraId="43AB590F" w14:textId="703B7D71" w:rsidR="00E61CDF" w:rsidRDefault="00E61CDF" w:rsidP="00CB7768">
      <w:pPr>
        <w:tabs>
          <w:tab w:val="left" w:pos="851"/>
        </w:tabs>
        <w:ind w:left="851" w:hanging="851"/>
      </w:pPr>
      <w:r>
        <w:t>[2]</w:t>
      </w:r>
      <w:r>
        <w:tab/>
        <w:t xml:space="preserve">3GPP TS 32.240 </w:t>
      </w:r>
      <w:r w:rsidR="00A65672">
        <w:t>Charging management; Charging architecture and principles</w:t>
      </w:r>
    </w:p>
    <w:p w14:paraId="2947FF24" w14:textId="77777777" w:rsidR="00CB7768" w:rsidRDefault="00CB7768" w:rsidP="00CB7768">
      <w:pPr>
        <w:tabs>
          <w:tab w:val="left" w:pos="851"/>
        </w:tabs>
        <w:ind w:left="851" w:hanging="851"/>
      </w:pPr>
      <w:r w:rsidRPr="00FF1EAA">
        <w:t>[</w:t>
      </w:r>
      <w:r>
        <w:t>3</w:t>
      </w:r>
      <w:r w:rsidRPr="00FF1EAA">
        <w:t>]</w:t>
      </w:r>
      <w:r w:rsidRPr="00FF1EAA">
        <w:tab/>
        <w:t>3GPP T</w:t>
      </w:r>
      <w:r>
        <w:t>S</w:t>
      </w:r>
      <w:r w:rsidRPr="00FF1EAA">
        <w:t xml:space="preserve"> 2</w:t>
      </w:r>
      <w:r>
        <w:t>3</w:t>
      </w:r>
      <w:r w:rsidRPr="00FF1EAA">
        <w:t>.</w:t>
      </w:r>
      <w:r>
        <w:t>501</w:t>
      </w:r>
      <w:r w:rsidRPr="00FF1EAA">
        <w:t xml:space="preserve"> </w:t>
      </w:r>
      <w:r w:rsidRPr="00071086">
        <w:t>System architecture for the 5G System (5GS);</w:t>
      </w:r>
      <w:r>
        <w:t xml:space="preserve"> </w:t>
      </w:r>
      <w:r w:rsidRPr="00071086">
        <w:t>Stage 2</w:t>
      </w:r>
    </w:p>
    <w:p w14:paraId="06167FBB" w14:textId="786DCF9B" w:rsidR="00223F82" w:rsidRDefault="00223F82" w:rsidP="00CB7768">
      <w:pPr>
        <w:tabs>
          <w:tab w:val="left" w:pos="851"/>
        </w:tabs>
        <w:ind w:left="851" w:hanging="851"/>
      </w:pPr>
      <w:r>
        <w:t>[4]</w:t>
      </w:r>
      <w:r>
        <w:tab/>
      </w:r>
      <w:r w:rsidR="00D133D9">
        <w:t>3GPP TR 21.905 Vocabulary for 3GPP specifications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1FEA2A9" w14:textId="3C12BFBA" w:rsidR="00772EDA" w:rsidRDefault="00772EDA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The definition</w:t>
      </w:r>
      <w:r w:rsidR="00E13548">
        <w:rPr>
          <w:rFonts w:asciiTheme="minorHAnsi" w:hAnsiTheme="minorHAnsi" w:cstheme="minorHAnsi"/>
          <w:iCs/>
          <w:sz w:val="24"/>
          <w:szCs w:val="24"/>
        </w:rPr>
        <w:t>s</w:t>
      </w:r>
      <w:r>
        <w:rPr>
          <w:rFonts w:asciiTheme="minorHAnsi" w:hAnsiTheme="minorHAnsi" w:cstheme="minorHAnsi"/>
          <w:iCs/>
          <w:sz w:val="24"/>
          <w:szCs w:val="24"/>
        </w:rPr>
        <w:t xml:space="preserve"> and use of reference points N107 and N108</w:t>
      </w:r>
      <w:r w:rsidR="006D270C">
        <w:rPr>
          <w:rFonts w:asciiTheme="minorHAnsi" w:hAnsiTheme="minorHAnsi" w:cstheme="minorHAnsi"/>
          <w:iCs/>
          <w:sz w:val="24"/>
          <w:szCs w:val="24"/>
        </w:rPr>
        <w:t xml:space="preserve"> is inconsistent </w:t>
      </w:r>
      <w:r w:rsidR="005946BB">
        <w:rPr>
          <w:rFonts w:asciiTheme="minorHAnsi" w:hAnsiTheme="minorHAnsi" w:cstheme="minorHAnsi"/>
          <w:iCs/>
          <w:sz w:val="24"/>
          <w:szCs w:val="24"/>
        </w:rPr>
        <w:t xml:space="preserve">and overlapping </w:t>
      </w:r>
      <w:r w:rsidR="006D270C">
        <w:rPr>
          <w:rFonts w:asciiTheme="minorHAnsi" w:hAnsiTheme="minorHAnsi" w:cstheme="minorHAnsi"/>
          <w:iCs/>
          <w:sz w:val="24"/>
          <w:szCs w:val="24"/>
        </w:rPr>
        <w:t>in charging specifications.</w:t>
      </w:r>
      <w:r w:rsidR="00C6648A">
        <w:rPr>
          <w:rFonts w:asciiTheme="minorHAnsi" w:hAnsiTheme="minorHAnsi" w:cstheme="minorHAnsi"/>
          <w:iCs/>
          <w:sz w:val="24"/>
          <w:szCs w:val="24"/>
        </w:rPr>
        <w:t xml:space="preserve"> The discussion paper proposes an </w:t>
      </w:r>
      <w:r w:rsidR="0034423D">
        <w:rPr>
          <w:rFonts w:asciiTheme="minorHAnsi" w:hAnsiTheme="minorHAnsi" w:cstheme="minorHAnsi"/>
          <w:iCs/>
          <w:sz w:val="24"/>
          <w:szCs w:val="24"/>
        </w:rPr>
        <w:t>enhancement to streamline the use of these reference points</w:t>
      </w:r>
      <w:r w:rsidR="00E61CDF">
        <w:rPr>
          <w:rFonts w:asciiTheme="minorHAnsi" w:hAnsiTheme="minorHAnsi" w:cstheme="minorHAnsi"/>
          <w:iCs/>
          <w:sz w:val="24"/>
          <w:szCs w:val="24"/>
        </w:rPr>
        <w:t xml:space="preserve"> to help</w:t>
      </w:r>
      <w:r w:rsidR="00B971C4">
        <w:rPr>
          <w:rFonts w:asciiTheme="minorHAnsi" w:hAnsiTheme="minorHAnsi" w:cstheme="minorHAnsi"/>
          <w:iCs/>
          <w:sz w:val="24"/>
          <w:szCs w:val="24"/>
        </w:rPr>
        <w:t xml:space="preserve"> avoid confusion.</w:t>
      </w:r>
    </w:p>
    <w:p w14:paraId="792BB4CC" w14:textId="29012215" w:rsidR="00772EDA" w:rsidRPr="006D270C" w:rsidRDefault="00D577B2" w:rsidP="00D577B2">
      <w:pPr>
        <w:pStyle w:val="Heading2"/>
      </w:pPr>
      <w:r>
        <w:t xml:space="preserve">3.1 </w:t>
      </w:r>
      <w:r w:rsidR="006D270C" w:rsidRPr="006D270C">
        <w:t>Background</w:t>
      </w:r>
    </w:p>
    <w:p w14:paraId="1331350D" w14:textId="4471CA43" w:rsidR="007F072C" w:rsidRDefault="00AD2B9A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The</w:t>
      </w:r>
      <w:r w:rsidR="007F072C" w:rsidRPr="007F072C">
        <w:rPr>
          <w:rFonts w:asciiTheme="minorHAnsi" w:hAnsiTheme="minorHAnsi" w:cstheme="minorHAnsi"/>
          <w:iCs/>
          <w:sz w:val="24"/>
          <w:szCs w:val="24"/>
        </w:rPr>
        <w:t xml:space="preserve"> TS 23.501 clause 4.2.1</w:t>
      </w:r>
      <w:r>
        <w:rPr>
          <w:rFonts w:asciiTheme="minorHAnsi" w:hAnsiTheme="minorHAnsi" w:cstheme="minorHAnsi"/>
          <w:iCs/>
          <w:sz w:val="24"/>
          <w:szCs w:val="24"/>
        </w:rPr>
        <w:t xml:space="preserve"> defines a</w:t>
      </w:r>
      <w:r w:rsidR="007F072C" w:rsidRPr="007F072C">
        <w:rPr>
          <w:rFonts w:asciiTheme="minorHAnsi" w:hAnsiTheme="minorHAnsi" w:cstheme="minorHAnsi"/>
          <w:iCs/>
          <w:sz w:val="24"/>
          <w:szCs w:val="24"/>
        </w:rPr>
        <w:t xml:space="preserve"> reference point representation</w:t>
      </w:r>
      <w:r>
        <w:rPr>
          <w:rFonts w:asciiTheme="minorHAnsi" w:hAnsiTheme="minorHAnsi" w:cstheme="minorHAnsi"/>
          <w:iCs/>
          <w:sz w:val="24"/>
          <w:szCs w:val="24"/>
        </w:rPr>
        <w:t xml:space="preserve"> as:</w:t>
      </w:r>
    </w:p>
    <w:p w14:paraId="0C2C2DAD" w14:textId="38D275F3" w:rsidR="007F072C" w:rsidRPr="00AB1FDA" w:rsidRDefault="007F072C">
      <w:pPr>
        <w:rPr>
          <w:rFonts w:asciiTheme="minorHAnsi" w:hAnsiTheme="minorHAnsi" w:cstheme="minorHAnsi"/>
          <w:i/>
          <w:sz w:val="24"/>
          <w:szCs w:val="24"/>
        </w:rPr>
      </w:pPr>
      <w:r w:rsidRPr="00AB1FDA">
        <w:rPr>
          <w:rFonts w:asciiTheme="minorHAnsi" w:hAnsiTheme="minorHAnsi" w:cstheme="minorHAnsi"/>
          <w:i/>
          <w:sz w:val="24"/>
          <w:szCs w:val="24"/>
        </w:rPr>
        <w:t>“A reference point representation, shows the interaction exist between the NF services in the network functions described by point-to-point reference point (e.g. N11) between any two network functions (e.g. AMF and SMF)</w:t>
      </w:r>
    </w:p>
    <w:p w14:paraId="15F67837" w14:textId="16C39D69" w:rsidR="005C6EC9" w:rsidRDefault="005C6EC9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Further TS 23.501 clause 4.2.7 states:</w:t>
      </w:r>
    </w:p>
    <w:p w14:paraId="19B765D8" w14:textId="2A11FFBD" w:rsidR="005C6EC9" w:rsidRDefault="005C6EC9">
      <w:pPr>
        <w:rPr>
          <w:rFonts w:asciiTheme="minorHAnsi" w:hAnsiTheme="minorHAnsi" w:cstheme="minorHAnsi"/>
          <w:i/>
          <w:sz w:val="24"/>
          <w:szCs w:val="24"/>
        </w:rPr>
      </w:pPr>
      <w:r w:rsidRPr="00AB1FDA">
        <w:rPr>
          <w:rFonts w:asciiTheme="minorHAnsi" w:hAnsiTheme="minorHAnsi" w:cstheme="minorHAnsi"/>
          <w:i/>
          <w:sz w:val="24"/>
          <w:szCs w:val="24"/>
        </w:rPr>
        <w:t>“</w:t>
      </w:r>
      <w:r w:rsidR="00716B32" w:rsidRPr="00AB1FDA">
        <w:rPr>
          <w:rFonts w:asciiTheme="minorHAnsi" w:hAnsiTheme="minorHAnsi" w:cstheme="minorHAnsi"/>
          <w:i/>
          <w:sz w:val="24"/>
          <w:szCs w:val="24"/>
        </w:rPr>
        <w:t>…reference points are realized by corresponding NF service-based interfaces and by specifying the identified consumer and producer NF service as well as their interaction in order to realize a particular system procedure”</w:t>
      </w:r>
    </w:p>
    <w:p w14:paraId="18440CC1" w14:textId="77777777" w:rsidR="00360000" w:rsidRDefault="00360000">
      <w:pPr>
        <w:rPr>
          <w:rFonts w:asciiTheme="minorHAnsi" w:hAnsiTheme="minorHAnsi" w:cstheme="minorHAnsi"/>
          <w:i/>
          <w:sz w:val="24"/>
          <w:szCs w:val="24"/>
        </w:rPr>
      </w:pPr>
    </w:p>
    <w:p w14:paraId="24975A7D" w14:textId="69E299D0" w:rsidR="00716B32" w:rsidRDefault="00280089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The reference points relevant to </w:t>
      </w:r>
      <w:r w:rsidR="009444EE">
        <w:rPr>
          <w:rFonts w:asciiTheme="minorHAnsi" w:hAnsiTheme="minorHAnsi" w:cstheme="minorHAnsi"/>
          <w:iCs/>
          <w:sz w:val="24"/>
          <w:szCs w:val="24"/>
        </w:rPr>
        <w:t>Nchf Converged Charging service</w:t>
      </w:r>
      <w:r>
        <w:rPr>
          <w:rFonts w:asciiTheme="minorHAnsi" w:hAnsiTheme="minorHAnsi" w:cstheme="minorHAnsi"/>
          <w:iCs/>
          <w:sz w:val="24"/>
          <w:szCs w:val="24"/>
        </w:rPr>
        <w:t xml:space="preserve"> are </w:t>
      </w:r>
      <w:r w:rsidR="00360000">
        <w:rPr>
          <w:rFonts w:asciiTheme="minorHAnsi" w:hAnsiTheme="minorHAnsi" w:cstheme="minorHAnsi"/>
          <w:iCs/>
          <w:sz w:val="24"/>
          <w:szCs w:val="24"/>
        </w:rPr>
        <w:t xml:space="preserve">listed </w:t>
      </w:r>
      <w:r>
        <w:rPr>
          <w:rFonts w:asciiTheme="minorHAnsi" w:hAnsiTheme="minorHAnsi" w:cstheme="minorHAnsi"/>
          <w:iCs/>
          <w:sz w:val="24"/>
          <w:szCs w:val="24"/>
        </w:rPr>
        <w:t xml:space="preserve">in TS 32.240 </w:t>
      </w:r>
      <w:r w:rsidR="008C2DF1">
        <w:rPr>
          <w:rFonts w:asciiTheme="minorHAnsi" w:hAnsiTheme="minorHAnsi" w:cstheme="minorHAnsi"/>
          <w:iCs/>
          <w:sz w:val="24"/>
          <w:szCs w:val="24"/>
        </w:rPr>
        <w:t xml:space="preserve">clause 4.4.3 </w:t>
      </w:r>
    </w:p>
    <w:p w14:paraId="1E24DF3F" w14:textId="77777777" w:rsidR="005A2546" w:rsidRPr="00E41B52" w:rsidRDefault="005A2546" w:rsidP="005A2546">
      <w:pPr>
        <w:pStyle w:val="B1"/>
        <w:rPr>
          <w:i/>
          <w:iCs/>
        </w:rPr>
      </w:pPr>
      <w:r w:rsidRPr="00E41B52">
        <w:rPr>
          <w:b/>
          <w:i/>
          <w:iCs/>
        </w:rPr>
        <w:t>N40:</w:t>
      </w:r>
      <w:r w:rsidRPr="00E41B52">
        <w:rPr>
          <w:i/>
          <w:iCs/>
        </w:rPr>
        <w:tab/>
        <w:t>Reference point between SMF and the CHF in the same PLMN defined in clause 4.2 of TS 32.255 [15].</w:t>
      </w:r>
    </w:p>
    <w:p w14:paraId="07952678" w14:textId="77777777" w:rsidR="005A2546" w:rsidRPr="00E41B52" w:rsidRDefault="005A2546" w:rsidP="005A2546">
      <w:pPr>
        <w:pStyle w:val="B1"/>
        <w:rPr>
          <w:i/>
          <w:iCs/>
        </w:rPr>
      </w:pPr>
      <w:r w:rsidRPr="00E41B52">
        <w:rPr>
          <w:b/>
          <w:bCs/>
          <w:i/>
          <w:iCs/>
        </w:rPr>
        <w:t>N41:</w:t>
      </w:r>
      <w:r w:rsidRPr="00E41B52">
        <w:rPr>
          <w:i/>
          <w:iCs/>
        </w:rPr>
        <w:tab/>
        <w:t>Reference point between AMF and CHF in different PLMNs defined in clause 4.2 of TS 32.256 [16].</w:t>
      </w:r>
    </w:p>
    <w:p w14:paraId="7FF16E01" w14:textId="77777777" w:rsidR="005A2546" w:rsidRPr="00E41B52" w:rsidRDefault="005A2546" w:rsidP="005A2546">
      <w:pPr>
        <w:pStyle w:val="B1"/>
        <w:rPr>
          <w:i/>
          <w:iCs/>
        </w:rPr>
      </w:pPr>
      <w:r w:rsidRPr="00E41B52">
        <w:rPr>
          <w:b/>
          <w:bCs/>
          <w:i/>
          <w:iCs/>
        </w:rPr>
        <w:t>N42:</w:t>
      </w:r>
      <w:r w:rsidRPr="00E41B52">
        <w:rPr>
          <w:i/>
          <w:iCs/>
        </w:rPr>
        <w:tab/>
        <w:t>Reference point between AMF and CHF in the same PLMN defined in clause 4.2 of TS 32.256 [16].</w:t>
      </w:r>
    </w:p>
    <w:p w14:paraId="3794D3E2" w14:textId="27737E85" w:rsidR="00280089" w:rsidRPr="00E41B52" w:rsidRDefault="005A2546">
      <w:pPr>
        <w:rPr>
          <w:rFonts w:asciiTheme="minorHAnsi" w:hAnsiTheme="minorHAnsi" w:cstheme="minorHAnsi"/>
          <w:i/>
          <w:iCs/>
          <w:sz w:val="24"/>
          <w:szCs w:val="24"/>
        </w:rPr>
      </w:pPr>
      <w:r w:rsidRPr="00E41B52">
        <w:rPr>
          <w:rFonts w:asciiTheme="minorHAnsi" w:hAnsiTheme="minorHAnsi" w:cstheme="minorHAnsi"/>
          <w:i/>
          <w:iCs/>
          <w:sz w:val="24"/>
          <w:szCs w:val="24"/>
        </w:rPr>
        <w:t>….</w:t>
      </w:r>
    </w:p>
    <w:p w14:paraId="11543DBE" w14:textId="60323EC1" w:rsidR="005A2546" w:rsidRPr="00E41B52" w:rsidRDefault="005A2546">
      <w:pPr>
        <w:rPr>
          <w:rFonts w:asciiTheme="minorHAnsi" w:hAnsiTheme="minorHAnsi" w:cstheme="minorHAnsi"/>
          <w:i/>
          <w:iCs/>
          <w:sz w:val="24"/>
          <w:szCs w:val="24"/>
        </w:rPr>
      </w:pPr>
      <w:r w:rsidRPr="00E41B52">
        <w:rPr>
          <w:rFonts w:asciiTheme="minorHAnsi" w:hAnsiTheme="minorHAnsi" w:cstheme="minorHAnsi"/>
          <w:i/>
          <w:iCs/>
          <w:sz w:val="24"/>
          <w:szCs w:val="24"/>
        </w:rPr>
        <w:t>….</w:t>
      </w:r>
    </w:p>
    <w:p w14:paraId="139F818C" w14:textId="77777777" w:rsidR="00814F54" w:rsidRPr="00E41B52" w:rsidRDefault="00814F54" w:rsidP="00814F54">
      <w:pPr>
        <w:pStyle w:val="B1"/>
        <w:rPr>
          <w:i/>
          <w:iCs/>
        </w:rPr>
      </w:pPr>
      <w:r w:rsidRPr="00E41B52">
        <w:rPr>
          <w:b/>
          <w:bCs/>
          <w:i/>
          <w:iCs/>
        </w:rPr>
        <w:t>N47</w:t>
      </w:r>
      <w:r w:rsidRPr="00E41B52">
        <w:rPr>
          <w:i/>
          <w:iCs/>
        </w:rPr>
        <w:t xml:space="preserve">: </w:t>
      </w:r>
      <w:r w:rsidRPr="00E41B52">
        <w:rPr>
          <w:i/>
          <w:iCs/>
        </w:rPr>
        <w:tab/>
        <w:t>Reference point between SMF and the CHF in different PLMNs defined in clause 4.2 of TS 32.255 [15].</w:t>
      </w:r>
    </w:p>
    <w:p w14:paraId="12AB8993" w14:textId="07388CE1" w:rsidR="005A2546" w:rsidRPr="00E41B52" w:rsidRDefault="00814F54">
      <w:pPr>
        <w:rPr>
          <w:rFonts w:asciiTheme="minorHAnsi" w:hAnsiTheme="minorHAnsi" w:cstheme="minorHAnsi"/>
          <w:i/>
          <w:iCs/>
          <w:sz w:val="24"/>
          <w:szCs w:val="24"/>
        </w:rPr>
      </w:pPr>
      <w:r w:rsidRPr="00E41B52">
        <w:rPr>
          <w:rFonts w:asciiTheme="minorHAnsi" w:hAnsiTheme="minorHAnsi" w:cstheme="minorHAnsi"/>
          <w:i/>
          <w:iCs/>
          <w:sz w:val="24"/>
          <w:szCs w:val="24"/>
        </w:rPr>
        <w:lastRenderedPageBreak/>
        <w:t>….</w:t>
      </w:r>
    </w:p>
    <w:p w14:paraId="6BDCFE38" w14:textId="77777777" w:rsidR="00A056C3" w:rsidRPr="00E41B52" w:rsidRDefault="00A056C3" w:rsidP="00A056C3">
      <w:pPr>
        <w:pStyle w:val="B1"/>
        <w:rPr>
          <w:i/>
          <w:iCs/>
        </w:rPr>
      </w:pPr>
      <w:r w:rsidRPr="00E41B52">
        <w:rPr>
          <w:b/>
          <w:bCs/>
          <w:i/>
          <w:iCs/>
        </w:rPr>
        <w:t>N107</w:t>
      </w:r>
      <w:r w:rsidRPr="00E41B52">
        <w:rPr>
          <w:i/>
          <w:iCs/>
        </w:rPr>
        <w:t>:</w:t>
      </w:r>
      <w:r w:rsidRPr="00E41B52">
        <w:rPr>
          <w:i/>
          <w:iCs/>
        </w:rPr>
        <w:tab/>
        <w:t>Reference point between two CHFs (</w:t>
      </w:r>
      <w:r w:rsidRPr="00E41B52">
        <w:rPr>
          <w:rFonts w:eastAsia="DengXian"/>
          <w:i/>
          <w:iCs/>
        </w:rPr>
        <w:t>V-CHF and H-CHF)</w:t>
      </w:r>
      <w:r w:rsidRPr="00E41B52">
        <w:rPr>
          <w:rFonts w:hint="eastAsia"/>
          <w:i/>
          <w:iCs/>
        </w:rPr>
        <w:t xml:space="preserve"> defined in clause 4.2 of TS 32.255 [15]</w:t>
      </w:r>
      <w:r w:rsidRPr="00E41B52">
        <w:rPr>
          <w:i/>
          <w:iCs/>
        </w:rPr>
        <w:t xml:space="preserve"> and clause 4.2 of TS 32.256 [16].</w:t>
      </w:r>
    </w:p>
    <w:p w14:paraId="18119412" w14:textId="77777777" w:rsidR="00A056C3" w:rsidRPr="00E41B52" w:rsidRDefault="00A056C3" w:rsidP="00A056C3">
      <w:pPr>
        <w:pStyle w:val="B1"/>
        <w:rPr>
          <w:i/>
          <w:iCs/>
        </w:rPr>
      </w:pPr>
      <w:r w:rsidRPr="00E41B52">
        <w:rPr>
          <w:b/>
          <w:bCs/>
          <w:i/>
          <w:iCs/>
        </w:rPr>
        <w:t>N108</w:t>
      </w:r>
      <w:r w:rsidRPr="00E41B52">
        <w:rPr>
          <w:i/>
          <w:iCs/>
        </w:rPr>
        <w:t>:</w:t>
      </w:r>
      <w:r w:rsidRPr="00E41B52">
        <w:rPr>
          <w:i/>
          <w:iCs/>
        </w:rPr>
        <w:tab/>
        <w:t>Reference point between two CHFs (</w:t>
      </w:r>
      <w:r w:rsidRPr="00E41B52">
        <w:rPr>
          <w:i/>
          <w:iCs/>
          <w:noProof/>
        </w:rPr>
        <w:t>C-CHF to B-CHF)</w:t>
      </w:r>
      <w:r w:rsidRPr="00E41B52">
        <w:rPr>
          <w:rFonts w:hint="eastAsia"/>
          <w:i/>
          <w:iCs/>
        </w:rPr>
        <w:t xml:space="preserve"> defined in clause 4.</w:t>
      </w:r>
      <w:r w:rsidRPr="00E41B52">
        <w:rPr>
          <w:i/>
          <w:iCs/>
        </w:rPr>
        <w:t>3</w:t>
      </w:r>
      <w:r w:rsidRPr="00E41B52">
        <w:rPr>
          <w:rFonts w:hint="eastAsia"/>
          <w:i/>
          <w:iCs/>
        </w:rPr>
        <w:t xml:space="preserve"> of TS 32.255 [15</w:t>
      </w:r>
      <w:r w:rsidRPr="00E41B52">
        <w:rPr>
          <w:i/>
          <w:iCs/>
        </w:rPr>
        <w:t>] and clause 4.3 of TS 32.256 [16].</w:t>
      </w:r>
    </w:p>
    <w:p w14:paraId="3CAD0521" w14:textId="77777777" w:rsidR="00814F54" w:rsidRDefault="00814F54">
      <w:pPr>
        <w:rPr>
          <w:rFonts w:asciiTheme="minorHAnsi" w:hAnsiTheme="minorHAnsi" w:cstheme="minorHAnsi"/>
          <w:iCs/>
          <w:sz w:val="24"/>
          <w:szCs w:val="24"/>
        </w:rPr>
      </w:pPr>
    </w:p>
    <w:p w14:paraId="5D89269F" w14:textId="509E4D8A" w:rsidR="00716B32" w:rsidRDefault="0021084D" w:rsidP="0002010F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While N4</w:t>
      </w:r>
      <w:r w:rsidR="00F60D15">
        <w:rPr>
          <w:rFonts w:asciiTheme="minorHAnsi" w:hAnsiTheme="minorHAnsi" w:cstheme="minorHAnsi"/>
          <w:iCs/>
          <w:sz w:val="24"/>
          <w:szCs w:val="24"/>
        </w:rPr>
        <w:t xml:space="preserve">0, N41, N42, N47 are clearly defined with respect to PLMN </w:t>
      </w:r>
      <w:r w:rsidR="0002010F">
        <w:rPr>
          <w:rFonts w:asciiTheme="minorHAnsi" w:hAnsiTheme="minorHAnsi" w:cstheme="minorHAnsi"/>
          <w:iCs/>
          <w:sz w:val="24"/>
          <w:szCs w:val="24"/>
        </w:rPr>
        <w:t>of the consumer and producer NFs</w:t>
      </w:r>
      <w:r w:rsidR="00F60D15">
        <w:rPr>
          <w:rFonts w:asciiTheme="minorHAnsi" w:hAnsiTheme="minorHAnsi" w:cstheme="minorHAnsi"/>
          <w:iCs/>
          <w:sz w:val="24"/>
          <w:szCs w:val="24"/>
        </w:rPr>
        <w:t xml:space="preserve">, </w:t>
      </w:r>
      <w:r w:rsidR="00C974BA">
        <w:rPr>
          <w:rFonts w:asciiTheme="minorHAnsi" w:hAnsiTheme="minorHAnsi" w:cstheme="minorHAnsi"/>
          <w:iCs/>
          <w:sz w:val="24"/>
          <w:szCs w:val="24"/>
        </w:rPr>
        <w:t xml:space="preserve">the </w:t>
      </w:r>
      <w:r w:rsidR="0002010F">
        <w:rPr>
          <w:rFonts w:asciiTheme="minorHAnsi" w:hAnsiTheme="minorHAnsi" w:cstheme="minorHAnsi"/>
          <w:iCs/>
          <w:sz w:val="24"/>
          <w:szCs w:val="24"/>
        </w:rPr>
        <w:t xml:space="preserve">definition for </w:t>
      </w:r>
      <w:r w:rsidR="00C974BA">
        <w:rPr>
          <w:rFonts w:asciiTheme="minorHAnsi" w:hAnsiTheme="minorHAnsi" w:cstheme="minorHAnsi"/>
          <w:iCs/>
          <w:sz w:val="24"/>
          <w:szCs w:val="24"/>
        </w:rPr>
        <w:t xml:space="preserve">N107 and N108 </w:t>
      </w:r>
      <w:r w:rsidR="0002010F">
        <w:rPr>
          <w:rFonts w:asciiTheme="minorHAnsi" w:hAnsiTheme="minorHAnsi" w:cstheme="minorHAnsi"/>
          <w:iCs/>
          <w:sz w:val="24"/>
          <w:szCs w:val="24"/>
        </w:rPr>
        <w:t xml:space="preserve">is not so clear: </w:t>
      </w:r>
    </w:p>
    <w:p w14:paraId="36FFFB14" w14:textId="6F442A6E" w:rsidR="00BD05AB" w:rsidRDefault="00BD05AB" w:rsidP="005019B6">
      <w:pPr>
        <w:pStyle w:val="ListParagraph"/>
        <w:numPr>
          <w:ilvl w:val="1"/>
          <w:numId w:val="23"/>
        </w:num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TS 32.255</w:t>
      </w:r>
      <w:r w:rsidR="005019B6">
        <w:rPr>
          <w:rFonts w:asciiTheme="minorHAnsi" w:hAnsiTheme="minorHAnsi" w:cstheme="minorHAnsi"/>
          <w:iCs/>
          <w:sz w:val="24"/>
          <w:szCs w:val="24"/>
        </w:rPr>
        <w:t xml:space="preserve"> clause 4.2 specifies N107</w:t>
      </w:r>
      <w:r w:rsidR="00017955">
        <w:rPr>
          <w:rFonts w:asciiTheme="minorHAnsi" w:hAnsiTheme="minorHAnsi" w:cstheme="minorHAnsi"/>
          <w:iCs/>
          <w:sz w:val="24"/>
          <w:szCs w:val="24"/>
        </w:rPr>
        <w:t xml:space="preserve">: </w:t>
      </w:r>
    </w:p>
    <w:p w14:paraId="60C4B534" w14:textId="346E0521" w:rsidR="00BD05AB" w:rsidRDefault="00BD05AB" w:rsidP="00017955">
      <w:pPr>
        <w:pStyle w:val="ListParagraph"/>
        <w:numPr>
          <w:ilvl w:val="2"/>
          <w:numId w:val="23"/>
        </w:num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For Roaming, in terms of PLMN</w:t>
      </w:r>
      <w:r w:rsidR="003D68D5">
        <w:rPr>
          <w:rFonts w:asciiTheme="minorHAnsi" w:hAnsiTheme="minorHAnsi" w:cstheme="minorHAnsi"/>
          <w:iCs/>
          <w:sz w:val="24"/>
          <w:szCs w:val="24"/>
        </w:rPr>
        <w:t xml:space="preserve"> i.e. V-CHF v/s H-CHF</w:t>
      </w:r>
    </w:p>
    <w:p w14:paraId="441568AC" w14:textId="28130A9F" w:rsidR="00BD05AB" w:rsidRDefault="00BD05AB" w:rsidP="00017955">
      <w:pPr>
        <w:pStyle w:val="ListParagraph"/>
        <w:numPr>
          <w:ilvl w:val="2"/>
          <w:numId w:val="23"/>
        </w:num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For MVNO, in terms of ownership of CHF function</w:t>
      </w:r>
    </w:p>
    <w:p w14:paraId="4790D934" w14:textId="05ACD0BC" w:rsidR="00F60D15" w:rsidRDefault="00FF2232" w:rsidP="00FF2232">
      <w:pPr>
        <w:ind w:left="852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The N108 is defined in terms of – functional role of CHF e.g. Business Charging v/s retail charging</w:t>
      </w:r>
      <w:r w:rsidR="004971E3">
        <w:rPr>
          <w:rFonts w:asciiTheme="minorHAnsi" w:hAnsiTheme="minorHAnsi" w:cstheme="minorHAnsi"/>
          <w:iCs/>
          <w:sz w:val="24"/>
          <w:szCs w:val="24"/>
        </w:rPr>
        <w:t xml:space="preserve">, regardless of the PLMN or the ownership of </w:t>
      </w:r>
      <w:r w:rsidR="00AB1E97">
        <w:rPr>
          <w:rFonts w:asciiTheme="minorHAnsi" w:hAnsiTheme="minorHAnsi" w:cstheme="minorHAnsi"/>
          <w:iCs/>
          <w:sz w:val="24"/>
          <w:szCs w:val="24"/>
        </w:rPr>
        <w:t xml:space="preserve">the </w:t>
      </w:r>
      <w:r w:rsidR="004971E3">
        <w:rPr>
          <w:rFonts w:asciiTheme="minorHAnsi" w:hAnsiTheme="minorHAnsi" w:cstheme="minorHAnsi"/>
          <w:iCs/>
          <w:sz w:val="24"/>
          <w:szCs w:val="24"/>
        </w:rPr>
        <w:t>CHF</w:t>
      </w:r>
    </w:p>
    <w:p w14:paraId="6417CE2E" w14:textId="77777777" w:rsidR="00C94995" w:rsidRDefault="00C94995" w:rsidP="00F60D15">
      <w:pPr>
        <w:rPr>
          <w:rFonts w:asciiTheme="minorHAnsi" w:hAnsiTheme="minorHAnsi" w:cstheme="minorHAnsi"/>
          <w:iCs/>
          <w:sz w:val="24"/>
          <w:szCs w:val="24"/>
        </w:rPr>
      </w:pPr>
    </w:p>
    <w:p w14:paraId="3C066E5C" w14:textId="2C118BBD" w:rsidR="00C94995" w:rsidRPr="00C94995" w:rsidRDefault="00D577B2" w:rsidP="00D577B2">
      <w:pPr>
        <w:pStyle w:val="Heading3"/>
      </w:pPr>
      <w:r>
        <w:t xml:space="preserve">3.1.1 </w:t>
      </w:r>
      <w:r w:rsidR="00C94995" w:rsidRPr="00C94995">
        <w:t>Definition and Use of Reference Point</w:t>
      </w:r>
      <w:r w:rsidR="0025366B">
        <w:t xml:space="preserve">s N47 and </w:t>
      </w:r>
      <w:r w:rsidR="00BB26FA">
        <w:t xml:space="preserve"> </w:t>
      </w:r>
      <w:r w:rsidR="00C94995" w:rsidRPr="00C94995">
        <w:t>N107</w:t>
      </w:r>
    </w:p>
    <w:p w14:paraId="1444EE76" w14:textId="5B8DA5A0" w:rsidR="00102EA7" w:rsidRDefault="00F60D15" w:rsidP="00F60D15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As per TS 32.255 clause 4.2:</w:t>
      </w:r>
    </w:p>
    <w:p w14:paraId="4B32CF26" w14:textId="098F7B29" w:rsidR="00F60D15" w:rsidRPr="002C6D84" w:rsidRDefault="00485244" w:rsidP="00F60D15">
      <w:pPr>
        <w:rPr>
          <w:rFonts w:eastAsia="DengXian"/>
          <w:i/>
          <w:iCs/>
        </w:rPr>
      </w:pPr>
      <w:r w:rsidRPr="002C6D84">
        <w:rPr>
          <w:rFonts w:eastAsia="DengXian"/>
          <w:i/>
          <w:iCs/>
        </w:rPr>
        <w:t>The N40 reference point is defined for the interactions between V-SMF and V-CHF, the N47 reference point is defined for the interactions between V-SMF and H-CHF</w:t>
      </w:r>
    </w:p>
    <w:p w14:paraId="61F68987" w14:textId="5335A673" w:rsidR="00485244" w:rsidRPr="002C6D84" w:rsidRDefault="00485244" w:rsidP="00F60D15">
      <w:pPr>
        <w:rPr>
          <w:rFonts w:asciiTheme="minorHAnsi" w:hAnsiTheme="minorHAnsi" w:cstheme="minorHAnsi"/>
          <w:i/>
          <w:iCs/>
          <w:sz w:val="24"/>
          <w:szCs w:val="24"/>
        </w:rPr>
      </w:pPr>
      <w:r w:rsidRPr="002C6D84">
        <w:rPr>
          <w:rFonts w:eastAsia="DengXian"/>
          <w:i/>
          <w:iCs/>
        </w:rPr>
        <w:t>For scenarios with MVNO</w:t>
      </w:r>
      <w:r w:rsidR="00381001" w:rsidRPr="002C6D84">
        <w:rPr>
          <w:rFonts w:eastAsia="DengXian"/>
          <w:i/>
          <w:iCs/>
        </w:rPr>
        <w:t xml:space="preserve"> </w:t>
      </w:r>
      <w:r w:rsidR="00381001" w:rsidRPr="002C6D84">
        <w:rPr>
          <w:i/>
          <w:iCs/>
          <w:lang w:eastAsia="zh-CN"/>
        </w:rPr>
        <w:t>(</w:t>
      </w:r>
      <w:r w:rsidR="00381001" w:rsidRPr="002C6D84">
        <w:rPr>
          <w:i/>
          <w:iCs/>
        </w:rPr>
        <w:t xml:space="preserve">owning a </w:t>
      </w:r>
      <w:r w:rsidR="00381001" w:rsidRPr="002C6D84">
        <w:rPr>
          <w:i/>
          <w:iCs/>
          <w:lang w:eastAsia="zh-CN"/>
        </w:rPr>
        <w:t xml:space="preserve">CHF </w:t>
      </w:r>
      <w:r w:rsidR="00381001" w:rsidRPr="002C6D84">
        <w:rPr>
          <w:i/>
          <w:iCs/>
        </w:rPr>
        <w:t>referred to as A-CHF</w:t>
      </w:r>
      <w:r w:rsidR="00381001" w:rsidRPr="003A4BB2">
        <w:rPr>
          <w:i/>
          <w:iCs/>
          <w:lang w:eastAsia="zh-CN"/>
        </w:rPr>
        <w:t>) non-roaming</w:t>
      </w:r>
      <w:r w:rsidRPr="003A4BB2">
        <w:rPr>
          <w:rFonts w:eastAsia="DengXian"/>
          <w:i/>
          <w:iCs/>
        </w:rPr>
        <w:t>:</w:t>
      </w:r>
      <w:r w:rsidRPr="002C6D84">
        <w:rPr>
          <w:rFonts w:eastAsia="DengXian"/>
          <w:i/>
          <w:iCs/>
        </w:rPr>
        <w:t xml:space="preserve"> </w:t>
      </w:r>
      <w:r w:rsidR="004234F9" w:rsidRPr="002C6D84">
        <w:rPr>
          <w:rFonts w:eastAsia="DengXian"/>
          <w:i/>
          <w:iCs/>
        </w:rPr>
        <w:t xml:space="preserve">the N40 reference point is defined for the interactions between SMF and CHF </w:t>
      </w:r>
      <w:r w:rsidR="004234F9" w:rsidRPr="002C6D84">
        <w:rPr>
          <w:i/>
          <w:iCs/>
        </w:rPr>
        <w:t>owned by</w:t>
      </w:r>
      <w:r w:rsidR="004234F9" w:rsidRPr="002C6D84" w:rsidDel="007471FD">
        <w:rPr>
          <w:rFonts w:eastAsia="DengXian"/>
          <w:i/>
          <w:iCs/>
        </w:rPr>
        <w:t xml:space="preserve"> </w:t>
      </w:r>
      <w:r w:rsidR="004234F9" w:rsidRPr="002C6D84">
        <w:rPr>
          <w:rFonts w:eastAsia="DengXian"/>
          <w:i/>
          <w:iCs/>
        </w:rPr>
        <w:t xml:space="preserve">MNO, the N47 reference point is used for the interactions between </w:t>
      </w:r>
      <w:r w:rsidR="004234F9" w:rsidRPr="002C6D84">
        <w:rPr>
          <w:i/>
          <w:iCs/>
        </w:rPr>
        <w:t>SMF owned by the MNO and A-CHF owned by the MVNO</w:t>
      </w:r>
      <w:r w:rsidR="004234F9" w:rsidRPr="002C6D84">
        <w:rPr>
          <w:rFonts w:eastAsia="DengXian"/>
          <w:i/>
          <w:iCs/>
        </w:rPr>
        <w:t>.</w:t>
      </w:r>
    </w:p>
    <w:p w14:paraId="69706233" w14:textId="77777777" w:rsidR="00AE2441" w:rsidRDefault="00AE2441" w:rsidP="004234F9">
      <w:pPr>
        <w:rPr>
          <w:rFonts w:asciiTheme="minorHAnsi" w:hAnsiTheme="minorHAnsi" w:cstheme="minorHAnsi"/>
          <w:iCs/>
          <w:sz w:val="24"/>
          <w:szCs w:val="24"/>
        </w:rPr>
      </w:pPr>
    </w:p>
    <w:p w14:paraId="5F959527" w14:textId="5163BC72" w:rsidR="00B86518" w:rsidRDefault="00B86518" w:rsidP="004234F9">
      <w:pPr>
        <w:rPr>
          <w:rFonts w:asciiTheme="minorHAnsi" w:hAnsiTheme="minorHAnsi" w:cstheme="minorBidi"/>
          <w:sz w:val="24"/>
          <w:szCs w:val="24"/>
        </w:rPr>
      </w:pPr>
      <w:r w:rsidRPr="1D90F286">
        <w:rPr>
          <w:rFonts w:asciiTheme="minorHAnsi" w:hAnsiTheme="minorHAnsi" w:cstheme="minorBidi"/>
          <w:sz w:val="24"/>
          <w:szCs w:val="24"/>
        </w:rPr>
        <w:t>The above clause defines N47 for non-roaming scenario</w:t>
      </w:r>
      <w:r w:rsidR="002C6D84" w:rsidRPr="1D90F286">
        <w:rPr>
          <w:rFonts w:asciiTheme="minorHAnsi" w:hAnsiTheme="minorHAnsi" w:cstheme="minorBidi"/>
          <w:sz w:val="24"/>
          <w:szCs w:val="24"/>
        </w:rPr>
        <w:t xml:space="preserve"> i.e. </w:t>
      </w:r>
      <w:r w:rsidR="008B268E" w:rsidRPr="1D90F286">
        <w:rPr>
          <w:rFonts w:asciiTheme="minorHAnsi" w:hAnsiTheme="minorHAnsi" w:cstheme="minorBidi"/>
          <w:sz w:val="24"/>
          <w:szCs w:val="24"/>
        </w:rPr>
        <w:t>same PLMN</w:t>
      </w:r>
      <w:r w:rsidRPr="1D90F286">
        <w:rPr>
          <w:rFonts w:asciiTheme="minorHAnsi" w:hAnsiTheme="minorHAnsi" w:cstheme="minorBidi"/>
          <w:sz w:val="24"/>
          <w:szCs w:val="24"/>
        </w:rPr>
        <w:t>, which contradicts the definition of N47 in TS 32.240 clause 4.</w:t>
      </w:r>
      <w:r w:rsidR="6697BCB9" w:rsidRPr="1D90F286">
        <w:rPr>
          <w:rFonts w:asciiTheme="minorHAnsi" w:hAnsiTheme="minorHAnsi" w:cstheme="minorBidi"/>
          <w:sz w:val="24"/>
          <w:szCs w:val="24"/>
        </w:rPr>
        <w:t>4.3</w:t>
      </w:r>
      <w:r w:rsidRPr="1D90F286">
        <w:rPr>
          <w:rFonts w:asciiTheme="minorHAnsi" w:hAnsiTheme="minorHAnsi" w:cstheme="minorBidi"/>
          <w:sz w:val="24"/>
          <w:szCs w:val="24"/>
        </w:rPr>
        <w:t xml:space="preserve"> stated above. </w:t>
      </w:r>
    </w:p>
    <w:p w14:paraId="504662C1" w14:textId="5700B037" w:rsidR="004234F9" w:rsidRDefault="00B86518" w:rsidP="004234F9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Furthermore, </w:t>
      </w:r>
      <w:r w:rsidR="00553929">
        <w:rPr>
          <w:rFonts w:asciiTheme="minorHAnsi" w:hAnsiTheme="minorHAnsi" w:cstheme="minorHAnsi"/>
          <w:iCs/>
          <w:sz w:val="24"/>
          <w:szCs w:val="24"/>
        </w:rPr>
        <w:t xml:space="preserve">An </w:t>
      </w:r>
      <w:r w:rsidR="004234F9">
        <w:rPr>
          <w:rFonts w:asciiTheme="minorHAnsi" w:hAnsiTheme="minorHAnsi" w:cstheme="minorHAnsi"/>
          <w:iCs/>
          <w:sz w:val="24"/>
          <w:szCs w:val="24"/>
        </w:rPr>
        <w:t xml:space="preserve">MVNO may or may not have same PLMN </w:t>
      </w:r>
      <w:r w:rsidR="003D68D5">
        <w:rPr>
          <w:rFonts w:asciiTheme="minorHAnsi" w:hAnsiTheme="minorHAnsi" w:cstheme="minorHAnsi"/>
          <w:iCs/>
          <w:sz w:val="24"/>
          <w:szCs w:val="24"/>
        </w:rPr>
        <w:t xml:space="preserve">Id </w:t>
      </w:r>
      <w:r w:rsidR="004234F9">
        <w:rPr>
          <w:rFonts w:asciiTheme="minorHAnsi" w:hAnsiTheme="minorHAnsi" w:cstheme="minorHAnsi"/>
          <w:iCs/>
          <w:sz w:val="24"/>
          <w:szCs w:val="24"/>
        </w:rPr>
        <w:t xml:space="preserve">as </w:t>
      </w:r>
      <w:r w:rsidR="008D3A2B">
        <w:rPr>
          <w:rFonts w:asciiTheme="minorHAnsi" w:hAnsiTheme="minorHAnsi" w:cstheme="minorHAnsi"/>
          <w:iCs/>
          <w:sz w:val="24"/>
          <w:szCs w:val="24"/>
        </w:rPr>
        <w:t xml:space="preserve">the </w:t>
      </w:r>
      <w:r w:rsidR="004234F9">
        <w:rPr>
          <w:rFonts w:asciiTheme="minorHAnsi" w:hAnsiTheme="minorHAnsi" w:cstheme="minorHAnsi"/>
          <w:iCs/>
          <w:sz w:val="24"/>
          <w:szCs w:val="24"/>
        </w:rPr>
        <w:t xml:space="preserve">MNO. </w:t>
      </w:r>
    </w:p>
    <w:p w14:paraId="70AF434D" w14:textId="7786AD72" w:rsidR="004234F9" w:rsidRDefault="0073601F" w:rsidP="00BB6C64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In case the MVNO has different PLMN than MNO, then </w:t>
      </w:r>
      <w:r w:rsidR="00B432B6">
        <w:rPr>
          <w:rFonts w:asciiTheme="minorHAnsi" w:hAnsiTheme="minorHAnsi" w:cstheme="minorHAnsi"/>
          <w:iCs/>
          <w:sz w:val="24"/>
          <w:szCs w:val="24"/>
        </w:rPr>
        <w:t>the use N47 matches its definition in TS 32.240 (i.e. in different PLMN)</w:t>
      </w:r>
      <w:r w:rsidR="00BB6C64">
        <w:rPr>
          <w:rFonts w:asciiTheme="minorHAnsi" w:hAnsiTheme="minorHAnsi" w:cstheme="minorHAnsi"/>
          <w:iCs/>
          <w:sz w:val="24"/>
          <w:szCs w:val="24"/>
        </w:rPr>
        <w:t xml:space="preserve">. </w:t>
      </w:r>
      <w:r w:rsidR="003927C6" w:rsidRPr="003A4BB2">
        <w:rPr>
          <w:rFonts w:asciiTheme="minorHAnsi" w:hAnsiTheme="minorHAnsi" w:cstheme="minorHAnsi"/>
          <w:iCs/>
          <w:sz w:val="24"/>
          <w:szCs w:val="24"/>
        </w:rPr>
        <w:t>But,</w:t>
      </w:r>
      <w:r w:rsidR="00B432B6" w:rsidRPr="003A4BB2">
        <w:rPr>
          <w:rFonts w:asciiTheme="minorHAnsi" w:hAnsiTheme="minorHAnsi" w:cstheme="minorHAnsi"/>
          <w:iCs/>
          <w:sz w:val="24"/>
          <w:szCs w:val="24"/>
        </w:rPr>
        <w:t xml:space="preserve"> if </w:t>
      </w:r>
      <w:r w:rsidR="004234F9" w:rsidRPr="003A4BB2">
        <w:rPr>
          <w:rFonts w:asciiTheme="minorHAnsi" w:hAnsiTheme="minorHAnsi" w:cstheme="minorHAnsi"/>
          <w:iCs/>
          <w:sz w:val="24"/>
          <w:szCs w:val="24"/>
        </w:rPr>
        <w:t xml:space="preserve">an MVNO </w:t>
      </w:r>
      <w:r w:rsidR="00553929" w:rsidRPr="003A4BB2">
        <w:rPr>
          <w:rFonts w:asciiTheme="minorHAnsi" w:hAnsiTheme="minorHAnsi" w:cstheme="minorHAnsi"/>
          <w:iCs/>
          <w:sz w:val="24"/>
          <w:szCs w:val="24"/>
        </w:rPr>
        <w:t xml:space="preserve">has </w:t>
      </w:r>
      <w:r w:rsidR="00E833CB" w:rsidRPr="003A4BB2">
        <w:rPr>
          <w:rFonts w:asciiTheme="minorHAnsi" w:hAnsiTheme="minorHAnsi" w:cstheme="minorHAnsi"/>
          <w:iCs/>
          <w:sz w:val="24"/>
          <w:szCs w:val="24"/>
        </w:rPr>
        <w:t>same PLMN as MNO, then the use of N47 contradicts the definition of N47 in TS 32.240</w:t>
      </w:r>
    </w:p>
    <w:p w14:paraId="34F00FD4" w14:textId="77777777" w:rsidR="00AB57C5" w:rsidRDefault="00AB57C5" w:rsidP="004234F9">
      <w:pPr>
        <w:rPr>
          <w:rFonts w:asciiTheme="minorHAnsi" w:hAnsiTheme="minorHAnsi" w:cstheme="minorHAnsi"/>
          <w:iCs/>
          <w:sz w:val="24"/>
          <w:szCs w:val="24"/>
        </w:rPr>
      </w:pPr>
    </w:p>
    <w:p w14:paraId="1978E994" w14:textId="1A6522AD" w:rsidR="00927B71" w:rsidRDefault="00002C10" w:rsidP="004234F9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TS 32.255</w:t>
      </w:r>
      <w:r w:rsidR="005C7731">
        <w:rPr>
          <w:rFonts w:asciiTheme="minorHAnsi" w:hAnsiTheme="minorHAnsi" w:cstheme="minorHAnsi"/>
          <w:iCs/>
          <w:sz w:val="24"/>
          <w:szCs w:val="24"/>
        </w:rPr>
        <w:t xml:space="preserve"> clause 4.2 also states:</w:t>
      </w:r>
    </w:p>
    <w:p w14:paraId="050B804E" w14:textId="77777777" w:rsidR="00566C5A" w:rsidRPr="00E86142" w:rsidRDefault="00566C5A" w:rsidP="00566C5A">
      <w:pPr>
        <w:pStyle w:val="TF"/>
        <w:jc w:val="left"/>
        <w:rPr>
          <w:rFonts w:ascii="Times New Roman" w:hAnsi="Times New Roman"/>
          <w:i/>
          <w:iCs/>
        </w:rPr>
      </w:pPr>
      <w:r w:rsidRPr="00E86142">
        <w:rPr>
          <w:rFonts w:ascii="Times New Roman" w:hAnsi="Times New Roman"/>
          <w:b w:val="0"/>
          <w:i/>
          <w:iCs/>
        </w:rPr>
        <w:t>N47 used by A-CHF owned by an additional actor (i.e. MVNO) to perform retail charging for its own subscribers is operator specific.</w:t>
      </w:r>
    </w:p>
    <w:p w14:paraId="2E30504F" w14:textId="2435053E" w:rsidR="005C7731" w:rsidRPr="00A47A0E" w:rsidRDefault="00E86142" w:rsidP="00A47A0E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This implies that</w:t>
      </w:r>
      <w:r w:rsidR="00566C5A" w:rsidRPr="00A47A0E">
        <w:rPr>
          <w:rFonts w:asciiTheme="minorHAnsi" w:hAnsiTheme="minorHAnsi" w:cstheme="minorHAnsi"/>
          <w:iCs/>
          <w:sz w:val="24"/>
          <w:szCs w:val="24"/>
        </w:rPr>
        <w:t xml:space="preserve"> N47 is defined in specification</w:t>
      </w:r>
      <w:r w:rsidR="00537907">
        <w:rPr>
          <w:rFonts w:asciiTheme="minorHAnsi" w:hAnsiTheme="minorHAnsi" w:cstheme="minorHAnsi"/>
          <w:iCs/>
          <w:sz w:val="24"/>
          <w:szCs w:val="24"/>
        </w:rPr>
        <w:t>s</w:t>
      </w:r>
      <w:r w:rsidR="00566C5A" w:rsidRPr="00A47A0E">
        <w:rPr>
          <w:rFonts w:asciiTheme="minorHAnsi" w:hAnsiTheme="minorHAnsi" w:cstheme="minorHAnsi"/>
          <w:iCs/>
          <w:sz w:val="24"/>
          <w:szCs w:val="24"/>
        </w:rPr>
        <w:t xml:space="preserve"> for roaming </w:t>
      </w:r>
      <w:r w:rsidR="001E1454">
        <w:rPr>
          <w:rFonts w:asciiTheme="minorHAnsi" w:hAnsiTheme="minorHAnsi" w:cstheme="minorHAnsi"/>
          <w:iCs/>
          <w:sz w:val="24"/>
          <w:szCs w:val="24"/>
        </w:rPr>
        <w:t>scenario</w:t>
      </w:r>
      <w:r w:rsidR="00537907">
        <w:rPr>
          <w:rFonts w:asciiTheme="minorHAnsi" w:hAnsiTheme="minorHAnsi" w:cstheme="minorHAnsi"/>
          <w:iCs/>
          <w:sz w:val="24"/>
          <w:szCs w:val="24"/>
        </w:rPr>
        <w:t>, but not for MVNO.</w:t>
      </w:r>
      <w:r w:rsidR="00566C5A" w:rsidRPr="00A47A0E">
        <w:rPr>
          <w:rFonts w:asciiTheme="minorHAnsi" w:hAnsiTheme="minorHAnsi" w:cstheme="minorHAnsi"/>
          <w:iCs/>
          <w:sz w:val="24"/>
          <w:szCs w:val="24"/>
        </w:rPr>
        <w:t xml:space="preserve"> </w:t>
      </w:r>
    </w:p>
    <w:p w14:paraId="7CC9479D" w14:textId="1B4ECDE2" w:rsidR="00B432B6" w:rsidRDefault="00B432B6" w:rsidP="004234F9">
      <w:pPr>
        <w:rPr>
          <w:rFonts w:asciiTheme="minorHAnsi" w:hAnsiTheme="minorHAnsi" w:cstheme="minorHAnsi"/>
          <w:iCs/>
          <w:sz w:val="24"/>
          <w:szCs w:val="24"/>
        </w:rPr>
      </w:pPr>
    </w:p>
    <w:p w14:paraId="1E27D28F" w14:textId="23F599FD" w:rsidR="00AF2129" w:rsidRDefault="00AF2129" w:rsidP="004234F9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TS 32.255 clause 4.2 describes </w:t>
      </w:r>
      <w:r w:rsidR="0063355E">
        <w:rPr>
          <w:rFonts w:asciiTheme="minorHAnsi" w:hAnsiTheme="minorHAnsi" w:cstheme="minorHAnsi"/>
          <w:iCs/>
          <w:sz w:val="24"/>
          <w:szCs w:val="24"/>
        </w:rPr>
        <w:t>two possible architectures for MVNO Charging:</w:t>
      </w:r>
    </w:p>
    <w:p w14:paraId="02596C59" w14:textId="77777777" w:rsidR="00391555" w:rsidRPr="00391555" w:rsidRDefault="00391555" w:rsidP="00391555">
      <w:pPr>
        <w:rPr>
          <w:rFonts w:eastAsia="DengXian"/>
          <w:i/>
          <w:iCs/>
        </w:rPr>
      </w:pPr>
      <w:r w:rsidRPr="00391555">
        <w:rPr>
          <w:i/>
          <w:iCs/>
          <w:lang w:eastAsia="zh-CN"/>
        </w:rPr>
        <w:t xml:space="preserve">For </w:t>
      </w:r>
      <w:r w:rsidRPr="00391555">
        <w:rPr>
          <w:i/>
          <w:iCs/>
        </w:rPr>
        <w:t xml:space="preserve">scenarios with </w:t>
      </w:r>
      <w:r w:rsidRPr="00391555">
        <w:rPr>
          <w:i/>
          <w:iCs/>
          <w:lang w:eastAsia="zh-CN"/>
        </w:rPr>
        <w:t>MVNO (</w:t>
      </w:r>
      <w:r w:rsidRPr="00391555">
        <w:rPr>
          <w:i/>
          <w:iCs/>
        </w:rPr>
        <w:t xml:space="preserve">owning a </w:t>
      </w:r>
      <w:r w:rsidRPr="00391555">
        <w:rPr>
          <w:i/>
          <w:iCs/>
          <w:lang w:eastAsia="zh-CN"/>
        </w:rPr>
        <w:t xml:space="preserve">CHF </w:t>
      </w:r>
      <w:r w:rsidRPr="00391555">
        <w:rPr>
          <w:i/>
          <w:iCs/>
        </w:rPr>
        <w:t>referred to as A-CHF</w:t>
      </w:r>
      <w:r w:rsidRPr="00391555">
        <w:rPr>
          <w:i/>
          <w:iCs/>
          <w:lang w:eastAsia="zh-CN"/>
        </w:rPr>
        <w:t xml:space="preserve">) non-roaming, </w:t>
      </w:r>
      <w:r w:rsidRPr="00391555">
        <w:rPr>
          <w:rFonts w:eastAsia="DengXian"/>
          <w:i/>
          <w:iCs/>
        </w:rPr>
        <w:t xml:space="preserve">the N40 reference point is defined for the interactions between SMF and CHF </w:t>
      </w:r>
      <w:r w:rsidRPr="00391555">
        <w:rPr>
          <w:i/>
          <w:iCs/>
        </w:rPr>
        <w:t>owned by</w:t>
      </w:r>
      <w:r w:rsidRPr="00391555" w:rsidDel="007471FD">
        <w:rPr>
          <w:rFonts w:eastAsia="DengXian"/>
          <w:i/>
          <w:iCs/>
        </w:rPr>
        <w:t xml:space="preserve"> </w:t>
      </w:r>
      <w:r w:rsidRPr="00391555">
        <w:rPr>
          <w:rFonts w:eastAsia="DengXian"/>
          <w:i/>
          <w:iCs/>
        </w:rPr>
        <w:t xml:space="preserve">MNO, the N47 reference point is used for the interactions between </w:t>
      </w:r>
      <w:r w:rsidRPr="00391555">
        <w:rPr>
          <w:i/>
          <w:iCs/>
        </w:rPr>
        <w:t>SMF owned by the MNO and A-CHF owned by the MVNO</w:t>
      </w:r>
      <w:r w:rsidRPr="00391555">
        <w:rPr>
          <w:rFonts w:eastAsia="DengXian"/>
          <w:i/>
          <w:iCs/>
        </w:rPr>
        <w:t xml:space="preserve">. </w:t>
      </w:r>
    </w:p>
    <w:p w14:paraId="3984B8DD" w14:textId="6FD6C5CE" w:rsidR="0063355E" w:rsidRDefault="00391555" w:rsidP="004234F9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…</w:t>
      </w:r>
    </w:p>
    <w:p w14:paraId="6694DB5B" w14:textId="77777777" w:rsidR="00F343C0" w:rsidRPr="00F343C0" w:rsidRDefault="00F343C0" w:rsidP="00F343C0">
      <w:pPr>
        <w:rPr>
          <w:rFonts w:eastAsia="DengXian"/>
          <w:i/>
          <w:iCs/>
        </w:rPr>
      </w:pPr>
      <w:r w:rsidRPr="00F343C0">
        <w:rPr>
          <w:i/>
          <w:iCs/>
          <w:lang w:eastAsia="zh-CN"/>
        </w:rPr>
        <w:lastRenderedPageBreak/>
        <w:t xml:space="preserve">For </w:t>
      </w:r>
      <w:r w:rsidRPr="00F343C0">
        <w:rPr>
          <w:i/>
          <w:iCs/>
        </w:rPr>
        <w:t xml:space="preserve">scenarios with </w:t>
      </w:r>
      <w:r w:rsidRPr="00F343C0">
        <w:rPr>
          <w:i/>
          <w:iCs/>
          <w:lang w:eastAsia="zh-CN"/>
        </w:rPr>
        <w:t>MVNO (</w:t>
      </w:r>
      <w:r w:rsidRPr="00F343C0">
        <w:rPr>
          <w:i/>
          <w:iCs/>
        </w:rPr>
        <w:t xml:space="preserve">owning a </w:t>
      </w:r>
      <w:r w:rsidRPr="00F343C0">
        <w:rPr>
          <w:i/>
          <w:iCs/>
          <w:lang w:eastAsia="zh-CN"/>
        </w:rPr>
        <w:t xml:space="preserve">CHF </w:t>
      </w:r>
      <w:r w:rsidRPr="00F343C0">
        <w:rPr>
          <w:i/>
          <w:iCs/>
        </w:rPr>
        <w:t>referred to as A-CHF</w:t>
      </w:r>
      <w:r w:rsidRPr="00F343C0">
        <w:rPr>
          <w:i/>
          <w:iCs/>
          <w:lang w:eastAsia="zh-CN"/>
        </w:rPr>
        <w:t xml:space="preserve">) non-roaming, </w:t>
      </w:r>
      <w:r w:rsidRPr="00F343C0">
        <w:rPr>
          <w:rFonts w:eastAsia="DengXian"/>
          <w:i/>
          <w:iCs/>
        </w:rPr>
        <w:t xml:space="preserve">the N40 reference point is defined for the interactions between SMF and CHF </w:t>
      </w:r>
      <w:r w:rsidRPr="00F343C0">
        <w:rPr>
          <w:i/>
          <w:iCs/>
        </w:rPr>
        <w:t>owned by</w:t>
      </w:r>
      <w:r w:rsidRPr="00F343C0" w:rsidDel="007471FD">
        <w:rPr>
          <w:rFonts w:eastAsia="DengXian"/>
          <w:i/>
          <w:iCs/>
        </w:rPr>
        <w:t xml:space="preserve"> </w:t>
      </w:r>
      <w:r w:rsidRPr="00F343C0">
        <w:rPr>
          <w:rFonts w:eastAsia="DengXian"/>
          <w:i/>
          <w:iCs/>
        </w:rPr>
        <w:t xml:space="preserve">MNO, the N107 reference point is used for the interactions between </w:t>
      </w:r>
      <w:r w:rsidRPr="00F343C0">
        <w:rPr>
          <w:i/>
          <w:iCs/>
        </w:rPr>
        <w:t>CHF owned by the MNO and A-CHF owned by the MVNO</w:t>
      </w:r>
      <w:r w:rsidRPr="00F343C0">
        <w:rPr>
          <w:rFonts w:eastAsia="DengXian"/>
          <w:i/>
          <w:iCs/>
        </w:rPr>
        <w:t>.</w:t>
      </w:r>
    </w:p>
    <w:p w14:paraId="53306F29" w14:textId="77777777" w:rsidR="00391555" w:rsidRDefault="00391555" w:rsidP="004234F9">
      <w:pPr>
        <w:rPr>
          <w:rFonts w:asciiTheme="minorHAnsi" w:hAnsiTheme="minorHAnsi" w:cstheme="minorHAnsi"/>
          <w:iCs/>
          <w:sz w:val="24"/>
          <w:szCs w:val="24"/>
        </w:rPr>
      </w:pPr>
    </w:p>
    <w:p w14:paraId="60453479" w14:textId="2A09A34F" w:rsidR="00B432B6" w:rsidRDefault="00F343C0" w:rsidP="004234F9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These can be shown</w:t>
      </w:r>
      <w:r w:rsidR="007952AB">
        <w:rPr>
          <w:rFonts w:asciiTheme="minorHAnsi" w:hAnsiTheme="minorHAnsi" w:cstheme="minorHAnsi"/>
          <w:iCs/>
          <w:sz w:val="24"/>
          <w:szCs w:val="24"/>
        </w:rPr>
        <w:t xml:space="preserve"> as below (Th</w:t>
      </w:r>
      <w:r w:rsidR="00397F93">
        <w:rPr>
          <w:rFonts w:asciiTheme="minorHAnsi" w:hAnsiTheme="minorHAnsi" w:cstheme="minorHAnsi"/>
          <w:iCs/>
          <w:sz w:val="24"/>
          <w:szCs w:val="24"/>
        </w:rPr>
        <w:t xml:space="preserve">ese </w:t>
      </w:r>
      <w:r w:rsidR="00B33556">
        <w:rPr>
          <w:rFonts w:asciiTheme="minorHAnsi" w:hAnsiTheme="minorHAnsi" w:cstheme="minorHAnsi"/>
          <w:iCs/>
          <w:sz w:val="24"/>
          <w:szCs w:val="24"/>
        </w:rPr>
        <w:t>may</w:t>
      </w:r>
      <w:r w:rsidR="00397F9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4523B0">
        <w:rPr>
          <w:rFonts w:asciiTheme="minorHAnsi" w:hAnsiTheme="minorHAnsi" w:cstheme="minorHAnsi"/>
          <w:iCs/>
          <w:sz w:val="24"/>
          <w:szCs w:val="24"/>
        </w:rPr>
        <w:t>be added to TS 32.255</w:t>
      </w:r>
      <w:r w:rsidR="00555DB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7952AB">
        <w:rPr>
          <w:rFonts w:asciiTheme="minorHAnsi" w:hAnsiTheme="minorHAnsi" w:cstheme="minorHAnsi"/>
          <w:iCs/>
          <w:sz w:val="24"/>
          <w:szCs w:val="24"/>
        </w:rPr>
        <w:t xml:space="preserve">clause 4.2 </w:t>
      </w:r>
      <w:r w:rsidR="00555DB9">
        <w:rPr>
          <w:rFonts w:asciiTheme="minorHAnsi" w:hAnsiTheme="minorHAnsi" w:cstheme="minorHAnsi"/>
          <w:iCs/>
          <w:sz w:val="24"/>
          <w:szCs w:val="24"/>
        </w:rPr>
        <w:t xml:space="preserve">for clarity on MVNO </w:t>
      </w:r>
      <w:r w:rsidR="007952AB">
        <w:rPr>
          <w:rFonts w:asciiTheme="minorHAnsi" w:hAnsiTheme="minorHAnsi" w:cstheme="minorHAnsi"/>
          <w:iCs/>
          <w:sz w:val="24"/>
          <w:szCs w:val="24"/>
        </w:rPr>
        <w:t>charging)</w:t>
      </w:r>
      <w:r w:rsidR="004523B0">
        <w:rPr>
          <w:rFonts w:asciiTheme="minorHAnsi" w:hAnsiTheme="minorHAnsi" w:cstheme="minorHAnsi"/>
          <w:iCs/>
          <w:sz w:val="24"/>
          <w:szCs w:val="24"/>
        </w:rPr>
        <w:t xml:space="preserve"> </w:t>
      </w:r>
    </w:p>
    <w:p w14:paraId="0A99F6D2" w14:textId="0512E690" w:rsidR="004523B0" w:rsidRDefault="00397F93" w:rsidP="004234F9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lang w:val="x-none" w:bidi="ar-IQ"/>
        </w:rPr>
        <w:object w:dxaOrig="6420" w:dyaOrig="4185" w14:anchorId="3FB342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75pt;height:209.25pt" o:ole="">
            <v:imagedata r:id="rId10" o:title=""/>
          </v:shape>
          <o:OLEObject Type="Embed" ProgID="Visio.Drawing.11" ShapeID="_x0000_i1025" DrawAspect="Content" ObjectID="_1789508851" r:id="rId11"/>
        </w:object>
      </w:r>
    </w:p>
    <w:p w14:paraId="52C55DDE" w14:textId="77777777" w:rsidR="004234F9" w:rsidRDefault="004234F9" w:rsidP="004234F9">
      <w:pPr>
        <w:rPr>
          <w:rFonts w:asciiTheme="minorHAnsi" w:hAnsiTheme="minorHAnsi" w:cstheme="minorHAnsi"/>
          <w:iCs/>
          <w:sz w:val="24"/>
          <w:szCs w:val="24"/>
        </w:rPr>
      </w:pPr>
    </w:p>
    <w:p w14:paraId="1C4EFE1D" w14:textId="51ED906D" w:rsidR="00F33712" w:rsidRDefault="00A80E92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lang w:val="x-none" w:bidi="ar-IQ"/>
        </w:rPr>
        <w:object w:dxaOrig="6420" w:dyaOrig="4185" w14:anchorId="5BBF6048">
          <v:shape id="_x0000_i1026" type="#_x0000_t75" style="width:322.5pt;height:208.5pt" o:ole="">
            <v:imagedata r:id="rId12" o:title=""/>
          </v:shape>
          <o:OLEObject Type="Embed" ProgID="Visio.Drawing.11" ShapeID="_x0000_i1026" DrawAspect="Content" ObjectID="_1789508852" r:id="rId13"/>
        </w:object>
      </w:r>
    </w:p>
    <w:p w14:paraId="60E1F533" w14:textId="77777777" w:rsidR="00A056C3" w:rsidRDefault="00A056C3">
      <w:pPr>
        <w:rPr>
          <w:rFonts w:asciiTheme="minorHAnsi" w:hAnsiTheme="minorHAnsi" w:cstheme="minorHAnsi"/>
          <w:iCs/>
          <w:sz w:val="24"/>
          <w:szCs w:val="24"/>
        </w:rPr>
      </w:pPr>
    </w:p>
    <w:p w14:paraId="0E440B27" w14:textId="6B847C7F" w:rsidR="00CA5DB8" w:rsidRDefault="003B4C03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As per TS 32.255 clause 4.2</w:t>
      </w:r>
      <w:r w:rsidR="00225BD6">
        <w:rPr>
          <w:rFonts w:asciiTheme="minorHAnsi" w:hAnsiTheme="minorHAnsi" w:cstheme="minorHAnsi"/>
          <w:iCs/>
          <w:sz w:val="24"/>
          <w:szCs w:val="24"/>
        </w:rPr>
        <w:t xml:space="preserve">, one or both of the above architectures can be supported. In case both </w:t>
      </w:r>
      <w:r w:rsidR="00A453C1">
        <w:rPr>
          <w:rFonts w:asciiTheme="minorHAnsi" w:hAnsiTheme="minorHAnsi" w:cstheme="minorHAnsi"/>
          <w:iCs/>
          <w:sz w:val="24"/>
          <w:szCs w:val="24"/>
        </w:rPr>
        <w:t>architectures are supported, the SMF determines, which one to use for an inbound roaming</w:t>
      </w:r>
      <w:r w:rsidR="00CA5DB8">
        <w:rPr>
          <w:rFonts w:asciiTheme="minorHAnsi" w:hAnsiTheme="minorHAnsi" w:cstheme="minorHAnsi"/>
          <w:iCs/>
          <w:sz w:val="24"/>
          <w:szCs w:val="24"/>
        </w:rPr>
        <w:t xml:space="preserve"> based on operator agreement. </w:t>
      </w:r>
    </w:p>
    <w:p w14:paraId="7DD39C98" w14:textId="4ECAD6C1" w:rsidR="005C6EC9" w:rsidRDefault="00EA68ED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However, the option using N47 is applicable only </w:t>
      </w:r>
      <w:r w:rsidR="006D57B4">
        <w:rPr>
          <w:rFonts w:asciiTheme="minorHAnsi" w:hAnsiTheme="minorHAnsi" w:cstheme="minorHAnsi"/>
          <w:iCs/>
          <w:sz w:val="24"/>
          <w:szCs w:val="24"/>
        </w:rPr>
        <w:t xml:space="preserve">if </w:t>
      </w:r>
      <w:r>
        <w:rPr>
          <w:rFonts w:asciiTheme="minorHAnsi" w:hAnsiTheme="minorHAnsi" w:cstheme="minorHAnsi"/>
          <w:iCs/>
          <w:sz w:val="24"/>
          <w:szCs w:val="24"/>
        </w:rPr>
        <w:t>MVNO has a separate PLMN than MNO</w:t>
      </w:r>
    </w:p>
    <w:p w14:paraId="2D6711F2" w14:textId="77777777" w:rsidR="006B0CD9" w:rsidRPr="006B0CD9" w:rsidRDefault="006B0CD9" w:rsidP="006B0CD9">
      <w:pPr>
        <w:pStyle w:val="ListParagraph"/>
        <w:rPr>
          <w:rFonts w:asciiTheme="minorHAnsi" w:hAnsiTheme="minorHAnsi" w:cstheme="minorHAnsi"/>
          <w:iCs/>
          <w:sz w:val="24"/>
          <w:szCs w:val="24"/>
        </w:rPr>
      </w:pPr>
    </w:p>
    <w:p w14:paraId="25A0A4EB" w14:textId="566BC15E" w:rsidR="00C94995" w:rsidRPr="00C94995" w:rsidRDefault="00D577B2" w:rsidP="00D577B2">
      <w:pPr>
        <w:pStyle w:val="Heading3"/>
      </w:pPr>
      <w:r>
        <w:t xml:space="preserve">3.1.2 </w:t>
      </w:r>
      <w:r w:rsidR="00C94995" w:rsidRPr="00C94995">
        <w:t>Definition and Use of Reference Point N108:</w:t>
      </w:r>
    </w:p>
    <w:p w14:paraId="73A3F372" w14:textId="565718E6" w:rsidR="00C94995" w:rsidRDefault="00E45D5E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TS 32.255 clause 4.3 defines </w:t>
      </w:r>
      <w:r w:rsidR="00B40E10">
        <w:rPr>
          <w:rFonts w:asciiTheme="minorHAnsi" w:hAnsiTheme="minorHAnsi" w:cstheme="minorHAnsi"/>
          <w:iCs/>
          <w:sz w:val="24"/>
          <w:szCs w:val="24"/>
        </w:rPr>
        <w:t>N108 for interactions between C-CHF and B-CHF</w:t>
      </w:r>
      <w:r w:rsidR="002D01A4">
        <w:rPr>
          <w:rFonts w:asciiTheme="minorHAnsi" w:hAnsiTheme="minorHAnsi" w:cstheme="minorHAnsi"/>
          <w:iCs/>
          <w:sz w:val="24"/>
          <w:szCs w:val="24"/>
        </w:rPr>
        <w:t xml:space="preserve"> as shown below:</w:t>
      </w:r>
    </w:p>
    <w:p w14:paraId="634D81DE" w14:textId="2A0B3579" w:rsidR="005776A3" w:rsidRDefault="002D01A4">
      <w:pPr>
        <w:rPr>
          <w:rFonts w:asciiTheme="minorHAnsi" w:hAnsiTheme="minorHAnsi" w:cstheme="minorHAnsi"/>
          <w:iCs/>
          <w:sz w:val="24"/>
          <w:szCs w:val="24"/>
        </w:rPr>
      </w:pPr>
      <w:r w:rsidRPr="00424394">
        <w:rPr>
          <w:lang w:bidi="ar-IQ"/>
        </w:rPr>
        <w:object w:dxaOrig="5131" w:dyaOrig="3700" w14:anchorId="097D6152">
          <v:shape id="_x0000_i1027" type="#_x0000_t75" style="width:257.25pt;height:185.25pt" o:ole="">
            <v:imagedata r:id="rId14" o:title=""/>
          </v:shape>
          <o:OLEObject Type="Embed" ProgID="Visio.Drawing.11" ShapeID="_x0000_i1027" DrawAspect="Content" ObjectID="_1789508853" r:id="rId15"/>
        </w:object>
      </w:r>
    </w:p>
    <w:p w14:paraId="459EF739" w14:textId="1E5C2AB5" w:rsidR="005776A3" w:rsidRDefault="002D01A4" w:rsidP="001B4FBE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Since, N40 is defined in same PLMN, it is understood from above</w:t>
      </w:r>
      <w:r w:rsidR="00E56F4E">
        <w:rPr>
          <w:rFonts w:asciiTheme="minorHAnsi" w:hAnsiTheme="minorHAnsi" w:cstheme="minorHAnsi"/>
          <w:iCs/>
          <w:sz w:val="24"/>
          <w:szCs w:val="24"/>
        </w:rPr>
        <w:t xml:space="preserve"> architecture</w:t>
      </w:r>
      <w:r>
        <w:rPr>
          <w:rFonts w:asciiTheme="minorHAnsi" w:hAnsiTheme="minorHAnsi" w:cstheme="minorHAnsi"/>
          <w:iCs/>
          <w:sz w:val="24"/>
          <w:szCs w:val="24"/>
        </w:rPr>
        <w:t xml:space="preserve"> that C-CHF (or consumer CHF) is in the same PLMN as SMF. </w:t>
      </w:r>
      <w:r w:rsidR="001B4FBE">
        <w:rPr>
          <w:rFonts w:asciiTheme="minorHAnsi" w:hAnsiTheme="minorHAnsi" w:cstheme="minorHAnsi"/>
          <w:iCs/>
          <w:sz w:val="24"/>
          <w:szCs w:val="24"/>
        </w:rPr>
        <w:t>Also, the</w:t>
      </w:r>
      <w:r w:rsidR="00436254">
        <w:rPr>
          <w:rFonts w:asciiTheme="minorHAnsi" w:hAnsiTheme="minorHAnsi" w:cstheme="minorHAnsi"/>
          <w:iCs/>
          <w:sz w:val="24"/>
          <w:szCs w:val="24"/>
        </w:rPr>
        <w:t xml:space="preserve"> N47 </w:t>
      </w:r>
      <w:r w:rsidR="00706418">
        <w:rPr>
          <w:rFonts w:asciiTheme="minorHAnsi" w:hAnsiTheme="minorHAnsi" w:cstheme="minorHAnsi"/>
          <w:iCs/>
          <w:sz w:val="24"/>
          <w:szCs w:val="24"/>
        </w:rPr>
        <w:t xml:space="preserve">(i.e. </w:t>
      </w:r>
      <w:r w:rsidR="00436254">
        <w:rPr>
          <w:rFonts w:asciiTheme="minorHAnsi" w:hAnsiTheme="minorHAnsi" w:cstheme="minorHAnsi"/>
          <w:iCs/>
          <w:sz w:val="24"/>
          <w:szCs w:val="24"/>
        </w:rPr>
        <w:t>SMF -&gt; Producer CHF)</w:t>
      </w:r>
      <w:r w:rsidR="00706418">
        <w:rPr>
          <w:rFonts w:asciiTheme="minorHAnsi" w:hAnsiTheme="minorHAnsi" w:cstheme="minorHAnsi"/>
          <w:iCs/>
          <w:sz w:val="24"/>
          <w:szCs w:val="24"/>
        </w:rPr>
        <w:t>, which is defined across PLMNs,</w:t>
      </w:r>
      <w:r w:rsidR="00436254">
        <w:rPr>
          <w:rFonts w:asciiTheme="minorHAnsi" w:hAnsiTheme="minorHAnsi" w:cstheme="minorHAnsi"/>
          <w:iCs/>
          <w:sz w:val="24"/>
          <w:szCs w:val="24"/>
        </w:rPr>
        <w:t xml:space="preserve"> is not defined for business charging.  </w:t>
      </w:r>
    </w:p>
    <w:p w14:paraId="700F16D4" w14:textId="157B7F72" w:rsidR="005776A3" w:rsidRPr="00706418" w:rsidRDefault="00AD52C4" w:rsidP="00706418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This implies that business charging is defined for same PLMN </w:t>
      </w:r>
      <w:r w:rsidR="00FC3C34">
        <w:rPr>
          <w:rFonts w:asciiTheme="minorHAnsi" w:hAnsiTheme="minorHAnsi" w:cstheme="minorHAnsi"/>
          <w:iCs/>
          <w:sz w:val="24"/>
          <w:szCs w:val="24"/>
        </w:rPr>
        <w:t xml:space="preserve">scenario </w:t>
      </w:r>
      <w:r>
        <w:rPr>
          <w:rFonts w:asciiTheme="minorHAnsi" w:hAnsiTheme="minorHAnsi" w:cstheme="minorHAnsi"/>
          <w:iCs/>
          <w:sz w:val="24"/>
          <w:szCs w:val="24"/>
        </w:rPr>
        <w:t>only</w:t>
      </w:r>
      <w:r w:rsidR="00FC3C34">
        <w:rPr>
          <w:rFonts w:asciiTheme="minorHAnsi" w:hAnsiTheme="minorHAnsi" w:cstheme="minorHAnsi"/>
          <w:iCs/>
          <w:sz w:val="24"/>
          <w:szCs w:val="24"/>
        </w:rPr>
        <w:t xml:space="preserve"> i.e. when C-CHF and B-CHF belong to same PLMN.</w:t>
      </w:r>
    </w:p>
    <w:p w14:paraId="460C493A" w14:textId="77777777" w:rsidR="005C6EC9" w:rsidRDefault="005C6EC9">
      <w:pPr>
        <w:rPr>
          <w:rFonts w:asciiTheme="minorHAnsi" w:hAnsiTheme="minorHAnsi" w:cstheme="minorHAnsi"/>
          <w:iCs/>
          <w:sz w:val="24"/>
          <w:szCs w:val="24"/>
        </w:rPr>
      </w:pPr>
    </w:p>
    <w:p w14:paraId="5DF514AC" w14:textId="7FBEE395" w:rsidR="00C431E2" w:rsidRDefault="00C431E2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Furthermore, </w:t>
      </w:r>
      <w:r w:rsidR="00C466EB">
        <w:rPr>
          <w:rFonts w:asciiTheme="minorHAnsi" w:hAnsiTheme="minorHAnsi" w:cstheme="minorHAnsi"/>
          <w:iCs/>
          <w:sz w:val="24"/>
          <w:szCs w:val="24"/>
        </w:rPr>
        <w:t xml:space="preserve">the </w:t>
      </w:r>
      <w:r w:rsidR="005A66D1">
        <w:rPr>
          <w:rFonts w:asciiTheme="minorHAnsi" w:hAnsiTheme="minorHAnsi" w:cstheme="minorHAnsi"/>
          <w:iCs/>
          <w:sz w:val="24"/>
          <w:szCs w:val="24"/>
        </w:rPr>
        <w:t>TS 32.240 I</w:t>
      </w:r>
      <w:r w:rsidR="00C466EB">
        <w:rPr>
          <w:rFonts w:asciiTheme="minorHAnsi" w:hAnsiTheme="minorHAnsi" w:cstheme="minorHAnsi"/>
          <w:iCs/>
          <w:sz w:val="24"/>
          <w:szCs w:val="24"/>
        </w:rPr>
        <w:t>nformative Annex G describes different scenarios and architectures for business charging</w:t>
      </w:r>
    </w:p>
    <w:p w14:paraId="1CD9A491" w14:textId="704743CC" w:rsidR="00C466EB" w:rsidRDefault="00C466EB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Clause G.2.2 </w:t>
      </w:r>
      <w:r w:rsidR="00545284">
        <w:rPr>
          <w:rFonts w:asciiTheme="minorHAnsi" w:hAnsiTheme="minorHAnsi" w:cstheme="minorHAnsi"/>
          <w:iCs/>
          <w:sz w:val="24"/>
          <w:szCs w:val="24"/>
        </w:rPr>
        <w:t>describes charging architecture for business charging with B-CHF only e.g. Inter-CHF communication is not used</w:t>
      </w:r>
    </w:p>
    <w:p w14:paraId="31A4C397" w14:textId="26438304" w:rsidR="00545284" w:rsidRDefault="00545284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Clause G.2.3 describes business charging </w:t>
      </w:r>
      <w:r w:rsidR="00A73A94">
        <w:rPr>
          <w:rFonts w:asciiTheme="minorHAnsi" w:hAnsiTheme="minorHAnsi" w:cstheme="minorHAnsi"/>
          <w:iCs/>
          <w:sz w:val="24"/>
          <w:szCs w:val="24"/>
        </w:rPr>
        <w:t>using N108 between C-CHF and B-CHF</w:t>
      </w:r>
    </w:p>
    <w:p w14:paraId="08732E39" w14:textId="38C7EB70" w:rsidR="00A73A94" w:rsidRDefault="00A73A94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Clause G.2.4 describes business charging using N107 between B-CHF and C-CHF in case of </w:t>
      </w:r>
      <w:r w:rsidR="00CE2FEF">
        <w:rPr>
          <w:rFonts w:asciiTheme="minorHAnsi" w:hAnsiTheme="minorHAnsi" w:cstheme="minorHAnsi"/>
          <w:iCs/>
          <w:sz w:val="24"/>
          <w:szCs w:val="24"/>
        </w:rPr>
        <w:t>local breakout roaming.</w:t>
      </w:r>
    </w:p>
    <w:p w14:paraId="05E57C72" w14:textId="77777777" w:rsidR="004403B7" w:rsidRPr="004403B7" w:rsidRDefault="004403B7" w:rsidP="004403B7">
      <w:pPr>
        <w:rPr>
          <w:i/>
          <w:iCs/>
        </w:rPr>
      </w:pPr>
      <w:r w:rsidRPr="004403B7">
        <w:rPr>
          <w:i/>
          <w:iCs/>
          <w:lang w:eastAsia="zh-CN"/>
        </w:rPr>
        <w:t>In the B2B charging architecture where the NF (CTF) have direct B-CHF interaction and where the B-CHF interact with the C-CHF using N107 reference point, the charging information collected by the NF (CTF) is per consumer and</w:t>
      </w:r>
      <w:r w:rsidRPr="004403B7">
        <w:rPr>
          <w:i/>
          <w:iCs/>
        </w:rPr>
        <w:t xml:space="preserve"> used for both B2C and B2B charging.</w:t>
      </w:r>
    </w:p>
    <w:p w14:paraId="4FE3D171" w14:textId="77777777" w:rsidR="004403B7" w:rsidRPr="004403B7" w:rsidRDefault="004403B7" w:rsidP="004403B7">
      <w:pPr>
        <w:rPr>
          <w:i/>
          <w:iCs/>
          <w:lang w:eastAsia="zh-CN"/>
        </w:rPr>
      </w:pPr>
      <w:r w:rsidRPr="004403B7">
        <w:rPr>
          <w:i/>
          <w:iCs/>
          <w:lang w:eastAsia="zh-CN"/>
        </w:rPr>
        <w:t xml:space="preserve">The related NF(s) and the corresponding references for the B2B charging with </w:t>
      </w:r>
      <w:r w:rsidRPr="004403B7">
        <w:rPr>
          <w:i/>
          <w:iCs/>
        </w:rPr>
        <w:t xml:space="preserve">B-CHF, where the B-CHF interacts with the </w:t>
      </w:r>
      <w:r w:rsidRPr="004403B7">
        <w:rPr>
          <w:i/>
          <w:iCs/>
          <w:lang w:eastAsia="zh-CN"/>
        </w:rPr>
        <w:t>C-CHF include, but not limited to:</w:t>
      </w:r>
    </w:p>
    <w:p w14:paraId="71E6C672" w14:textId="77777777" w:rsidR="004403B7" w:rsidRPr="004403B7" w:rsidRDefault="004403B7" w:rsidP="004403B7">
      <w:pPr>
        <w:pStyle w:val="B1"/>
        <w:rPr>
          <w:i/>
          <w:iCs/>
        </w:rPr>
      </w:pPr>
      <w:r w:rsidRPr="004403B7">
        <w:rPr>
          <w:i/>
          <w:iCs/>
        </w:rPr>
        <w:t>-</w:t>
      </w:r>
      <w:r w:rsidRPr="004403B7">
        <w:rPr>
          <w:i/>
          <w:iCs/>
        </w:rPr>
        <w:tab/>
        <w:t>5G data connectivity charging in local breakout roaming scenario, as specified in Figure 4.2.6a of TS 32.255 [15];</w:t>
      </w:r>
    </w:p>
    <w:p w14:paraId="3D5800EB" w14:textId="77777777" w:rsidR="004403B7" w:rsidRPr="004403B7" w:rsidRDefault="004403B7" w:rsidP="004403B7">
      <w:pPr>
        <w:pStyle w:val="B1"/>
        <w:rPr>
          <w:i/>
          <w:iCs/>
        </w:rPr>
      </w:pPr>
      <w:r w:rsidRPr="004403B7">
        <w:rPr>
          <w:i/>
          <w:iCs/>
        </w:rPr>
        <w:t xml:space="preserve">- </w:t>
      </w:r>
      <w:r w:rsidRPr="004403B7">
        <w:rPr>
          <w:i/>
          <w:iCs/>
        </w:rPr>
        <w:tab/>
        <w:t>5G connection and mobility charging, in local breakout roaming scenario, as specified in Figure 4.2.2.3 of TS 32.256 [16];</w:t>
      </w:r>
    </w:p>
    <w:p w14:paraId="66105CBE" w14:textId="77777777" w:rsidR="00BD5EEB" w:rsidRDefault="00BD5EEB">
      <w:pPr>
        <w:rPr>
          <w:rFonts w:asciiTheme="minorHAnsi" w:hAnsiTheme="minorHAnsi" w:cstheme="minorHAnsi"/>
          <w:iCs/>
          <w:sz w:val="24"/>
          <w:szCs w:val="24"/>
        </w:rPr>
      </w:pPr>
    </w:p>
    <w:p w14:paraId="5F0B16D5" w14:textId="7E4B3CAB" w:rsidR="00CE2FEF" w:rsidRDefault="00BD5EEB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Though both G.2.3 and G.2.4 describe business charging, one uses N107 and </w:t>
      </w:r>
      <w:r w:rsidR="0050765C">
        <w:rPr>
          <w:rFonts w:asciiTheme="minorHAnsi" w:hAnsiTheme="minorHAnsi" w:cstheme="minorHAnsi"/>
          <w:iCs/>
          <w:sz w:val="24"/>
          <w:szCs w:val="24"/>
        </w:rPr>
        <w:t xml:space="preserve">the other </w:t>
      </w:r>
      <w:r>
        <w:rPr>
          <w:rFonts w:asciiTheme="minorHAnsi" w:hAnsiTheme="minorHAnsi" w:cstheme="minorHAnsi"/>
          <w:iCs/>
          <w:sz w:val="24"/>
          <w:szCs w:val="24"/>
        </w:rPr>
        <w:t>one uses N108</w:t>
      </w:r>
    </w:p>
    <w:p w14:paraId="5A4978D7" w14:textId="60408830" w:rsidR="00CE2FEF" w:rsidRDefault="00CE2FEF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Specifically, clause </w:t>
      </w:r>
      <w:r w:rsidR="003D187F">
        <w:rPr>
          <w:rFonts w:asciiTheme="minorHAnsi" w:hAnsiTheme="minorHAnsi" w:cstheme="minorHAnsi"/>
          <w:iCs/>
          <w:sz w:val="24"/>
          <w:szCs w:val="24"/>
        </w:rPr>
        <w:t xml:space="preserve">TS 32.240 Annex </w:t>
      </w:r>
      <w:r>
        <w:rPr>
          <w:rFonts w:asciiTheme="minorHAnsi" w:hAnsiTheme="minorHAnsi" w:cstheme="minorHAnsi"/>
          <w:iCs/>
          <w:sz w:val="24"/>
          <w:szCs w:val="24"/>
        </w:rPr>
        <w:t xml:space="preserve">G.2.4 refers to </w:t>
      </w:r>
      <w:r w:rsidR="00AC07BE">
        <w:rPr>
          <w:rFonts w:asciiTheme="minorHAnsi" w:hAnsiTheme="minorHAnsi" w:cstheme="minorHAnsi"/>
          <w:iCs/>
          <w:sz w:val="24"/>
          <w:szCs w:val="24"/>
        </w:rPr>
        <w:t xml:space="preserve">fig 4.2.6a, which if modelled for business charging, would be </w:t>
      </w:r>
      <w:r w:rsidR="009C5BAA">
        <w:rPr>
          <w:rFonts w:asciiTheme="minorHAnsi" w:hAnsiTheme="minorHAnsi" w:cstheme="minorHAnsi"/>
          <w:iCs/>
          <w:sz w:val="24"/>
          <w:szCs w:val="24"/>
        </w:rPr>
        <w:t>shown as</w:t>
      </w:r>
      <w:r w:rsidR="00AC07BE">
        <w:rPr>
          <w:rFonts w:asciiTheme="minorHAnsi" w:hAnsiTheme="minorHAnsi" w:cstheme="minorHAnsi"/>
          <w:iCs/>
          <w:sz w:val="24"/>
          <w:szCs w:val="24"/>
        </w:rPr>
        <w:t xml:space="preserve"> below: </w:t>
      </w:r>
    </w:p>
    <w:p w14:paraId="692E7546" w14:textId="4282DFAE" w:rsidR="00162928" w:rsidRDefault="00F7396C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lang w:val="x-none" w:bidi="ar-IQ"/>
        </w:rPr>
        <w:object w:dxaOrig="6420" w:dyaOrig="4185" w14:anchorId="69709E8F">
          <v:shape id="_x0000_i1028" type="#_x0000_t75" style="width:321.75pt;height:209.25pt" o:ole="">
            <v:imagedata r:id="rId16" o:title=""/>
          </v:shape>
          <o:OLEObject Type="Embed" ProgID="Visio.Drawing.11" ShapeID="_x0000_i1028" DrawAspect="Content" ObjectID="_1789508854" r:id="rId17"/>
        </w:object>
      </w:r>
    </w:p>
    <w:p w14:paraId="29E7BE7F" w14:textId="77777777" w:rsidR="004403B7" w:rsidRDefault="004403B7">
      <w:pPr>
        <w:rPr>
          <w:rFonts w:asciiTheme="minorHAnsi" w:hAnsiTheme="minorHAnsi" w:cstheme="minorHAnsi"/>
          <w:iCs/>
          <w:sz w:val="24"/>
          <w:szCs w:val="24"/>
        </w:rPr>
      </w:pPr>
    </w:p>
    <w:p w14:paraId="3A95BEDD" w14:textId="6E0E84C3" w:rsidR="00983B08" w:rsidRDefault="004403B7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It is clear from </w:t>
      </w:r>
      <w:r w:rsidR="00CB0D4F">
        <w:rPr>
          <w:rFonts w:asciiTheme="minorHAnsi" w:hAnsiTheme="minorHAnsi" w:cstheme="minorHAnsi"/>
          <w:iCs/>
          <w:sz w:val="24"/>
          <w:szCs w:val="24"/>
        </w:rPr>
        <w:t xml:space="preserve">the above analysis that </w:t>
      </w:r>
      <w:r>
        <w:rPr>
          <w:rFonts w:asciiTheme="minorHAnsi" w:hAnsiTheme="minorHAnsi" w:cstheme="minorHAnsi"/>
          <w:iCs/>
          <w:sz w:val="24"/>
          <w:szCs w:val="24"/>
        </w:rPr>
        <w:t xml:space="preserve">the </w:t>
      </w:r>
      <w:r w:rsidR="00D07460">
        <w:rPr>
          <w:rFonts w:asciiTheme="minorHAnsi" w:hAnsiTheme="minorHAnsi" w:cstheme="minorHAnsi"/>
          <w:iCs/>
          <w:sz w:val="24"/>
          <w:szCs w:val="24"/>
        </w:rPr>
        <w:t>Annex G</w:t>
      </w:r>
      <w:r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0A6BBB">
        <w:rPr>
          <w:rFonts w:asciiTheme="minorHAnsi" w:hAnsiTheme="minorHAnsi" w:cstheme="minorHAnsi"/>
          <w:iCs/>
          <w:sz w:val="24"/>
          <w:szCs w:val="24"/>
        </w:rPr>
        <w:t>show</w:t>
      </w:r>
      <w:r w:rsidR="00CB0D4F">
        <w:rPr>
          <w:rFonts w:asciiTheme="minorHAnsi" w:hAnsiTheme="minorHAnsi" w:cstheme="minorHAnsi"/>
          <w:iCs/>
          <w:sz w:val="24"/>
          <w:szCs w:val="24"/>
        </w:rPr>
        <w:t>s</w:t>
      </w:r>
      <w:r>
        <w:rPr>
          <w:rFonts w:asciiTheme="minorHAnsi" w:hAnsiTheme="minorHAnsi" w:cstheme="minorHAnsi"/>
          <w:iCs/>
          <w:sz w:val="24"/>
          <w:szCs w:val="24"/>
        </w:rPr>
        <w:t xml:space="preserve"> reference point N108 </w:t>
      </w:r>
      <w:r w:rsidR="000A6BBB">
        <w:rPr>
          <w:rFonts w:asciiTheme="minorHAnsi" w:hAnsiTheme="minorHAnsi" w:cstheme="minorHAnsi"/>
          <w:iCs/>
          <w:sz w:val="24"/>
          <w:szCs w:val="24"/>
        </w:rPr>
        <w:t xml:space="preserve">used </w:t>
      </w:r>
      <w:r>
        <w:rPr>
          <w:rFonts w:asciiTheme="minorHAnsi" w:hAnsiTheme="minorHAnsi" w:cstheme="minorHAnsi"/>
          <w:iCs/>
          <w:sz w:val="24"/>
          <w:szCs w:val="24"/>
        </w:rPr>
        <w:t>for business charging in same PLMN, whereas N107 is used for business charging across different PLMNs</w:t>
      </w:r>
    </w:p>
    <w:p w14:paraId="5CA7D01A" w14:textId="77777777" w:rsidR="00372ABD" w:rsidRDefault="00372ABD">
      <w:pPr>
        <w:rPr>
          <w:rFonts w:asciiTheme="minorHAnsi" w:hAnsiTheme="minorHAnsi" w:cstheme="minorHAnsi"/>
          <w:iCs/>
          <w:sz w:val="24"/>
          <w:szCs w:val="24"/>
        </w:rPr>
      </w:pPr>
    </w:p>
    <w:p w14:paraId="4D523391" w14:textId="7B44246E" w:rsidR="00B61A24" w:rsidRPr="006D270C" w:rsidRDefault="00B61A24" w:rsidP="00B61A24">
      <w:pPr>
        <w:pStyle w:val="Heading2"/>
      </w:pPr>
      <w:r>
        <w:t xml:space="preserve">3.1 </w:t>
      </w:r>
      <w:r w:rsidR="00164876">
        <w:t>Ambiguity</w:t>
      </w:r>
      <w:r>
        <w:t xml:space="preserve"> between N107 and N108</w:t>
      </w:r>
    </w:p>
    <w:p w14:paraId="6E12D465" w14:textId="726CBC72" w:rsidR="005A0E2E" w:rsidRDefault="00B61A24" w:rsidP="005A0E2E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The definitions </w:t>
      </w:r>
      <w:r w:rsidR="008A2A55">
        <w:rPr>
          <w:rFonts w:asciiTheme="minorHAnsi" w:hAnsiTheme="minorHAnsi" w:cstheme="minorHAnsi"/>
          <w:iCs/>
          <w:sz w:val="24"/>
          <w:szCs w:val="24"/>
        </w:rPr>
        <w:t xml:space="preserve">and use </w:t>
      </w:r>
      <w:r>
        <w:rPr>
          <w:rFonts w:asciiTheme="minorHAnsi" w:hAnsiTheme="minorHAnsi" w:cstheme="minorHAnsi"/>
          <w:iCs/>
          <w:sz w:val="24"/>
          <w:szCs w:val="24"/>
        </w:rPr>
        <w:t>of N107 and N108</w:t>
      </w:r>
      <w:r w:rsidR="008A2A55">
        <w:rPr>
          <w:rFonts w:asciiTheme="minorHAnsi" w:hAnsiTheme="minorHAnsi" w:cstheme="minorHAnsi"/>
          <w:iCs/>
          <w:sz w:val="24"/>
          <w:szCs w:val="24"/>
        </w:rPr>
        <w:t xml:space="preserve"> reference points is ambiguous in charging specifications</w:t>
      </w:r>
      <w:r w:rsidR="00261F6D">
        <w:rPr>
          <w:rFonts w:asciiTheme="minorHAnsi" w:hAnsiTheme="minorHAnsi" w:cstheme="minorHAnsi"/>
          <w:iCs/>
          <w:sz w:val="24"/>
          <w:szCs w:val="24"/>
        </w:rPr>
        <w:t xml:space="preserve">, as described </w:t>
      </w:r>
      <w:r w:rsidR="008A2A55">
        <w:rPr>
          <w:rFonts w:asciiTheme="minorHAnsi" w:hAnsiTheme="minorHAnsi" w:cstheme="minorHAnsi"/>
          <w:iCs/>
          <w:sz w:val="24"/>
          <w:szCs w:val="24"/>
        </w:rPr>
        <w:t>above</w:t>
      </w:r>
      <w:r w:rsidR="00911EBB">
        <w:rPr>
          <w:rFonts w:asciiTheme="minorHAnsi" w:hAnsiTheme="minorHAnsi" w:cstheme="minorHAnsi"/>
          <w:iCs/>
          <w:sz w:val="24"/>
          <w:szCs w:val="24"/>
        </w:rPr>
        <w:t xml:space="preserve"> e.g.</w:t>
      </w:r>
      <w:r w:rsidR="006E1E6B">
        <w:rPr>
          <w:rFonts w:asciiTheme="minorHAnsi" w:hAnsiTheme="minorHAnsi" w:cstheme="minorHAnsi"/>
          <w:iCs/>
          <w:sz w:val="24"/>
          <w:szCs w:val="24"/>
        </w:rPr>
        <w:t xml:space="preserve"> for data connectivity charging in local breakout roaming scenario</w:t>
      </w:r>
      <w:r w:rsidR="00583EA2">
        <w:rPr>
          <w:rFonts w:asciiTheme="minorHAnsi" w:hAnsiTheme="minorHAnsi" w:cstheme="minorHAnsi"/>
          <w:iCs/>
          <w:sz w:val="24"/>
          <w:szCs w:val="24"/>
        </w:rPr>
        <w:t xml:space="preserve">, the </w:t>
      </w:r>
      <w:r w:rsidR="00A81469">
        <w:rPr>
          <w:rFonts w:asciiTheme="minorHAnsi" w:hAnsiTheme="minorHAnsi" w:cstheme="minorHAnsi"/>
          <w:iCs/>
          <w:sz w:val="24"/>
          <w:szCs w:val="24"/>
        </w:rPr>
        <w:t>reference point</w:t>
      </w:r>
      <w:r w:rsidR="00583EA2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5A0E2E">
        <w:rPr>
          <w:rFonts w:asciiTheme="minorHAnsi" w:hAnsiTheme="minorHAnsi" w:cstheme="minorHAnsi"/>
          <w:iCs/>
          <w:sz w:val="24"/>
          <w:szCs w:val="24"/>
        </w:rPr>
        <w:t>between V-CHF and H-CHF could be</w:t>
      </w:r>
      <w:r w:rsidR="00A81469">
        <w:rPr>
          <w:rFonts w:asciiTheme="minorHAnsi" w:hAnsiTheme="minorHAnsi" w:cstheme="minorHAnsi"/>
          <w:iCs/>
          <w:sz w:val="24"/>
          <w:szCs w:val="24"/>
        </w:rPr>
        <w:t>:</w:t>
      </w:r>
    </w:p>
    <w:p w14:paraId="6442A187" w14:textId="77777777" w:rsidR="00820190" w:rsidRDefault="005A0E2E" w:rsidP="005A0E2E">
      <w:pPr>
        <w:pStyle w:val="ListParagraph"/>
        <w:numPr>
          <w:ilvl w:val="0"/>
          <w:numId w:val="25"/>
        </w:num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N107 as described in TS 32.255 </w:t>
      </w:r>
      <w:r w:rsidR="00820190">
        <w:rPr>
          <w:rFonts w:asciiTheme="minorHAnsi" w:hAnsiTheme="minorHAnsi" w:cstheme="minorHAnsi"/>
          <w:iCs/>
          <w:sz w:val="24"/>
          <w:szCs w:val="24"/>
        </w:rPr>
        <w:t xml:space="preserve">fig 4.2.6a </w:t>
      </w:r>
    </w:p>
    <w:p w14:paraId="6826D563" w14:textId="508662F7" w:rsidR="00D133D9" w:rsidRDefault="00820190" w:rsidP="005A0E2E">
      <w:pPr>
        <w:pStyle w:val="ListParagraph"/>
        <w:numPr>
          <w:ilvl w:val="0"/>
          <w:numId w:val="25"/>
        </w:num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OR N108, as described in TS 32.240 Annex G.2.4</w:t>
      </w:r>
    </w:p>
    <w:p w14:paraId="2301815D" w14:textId="77777777" w:rsidR="00820190" w:rsidRDefault="00820190" w:rsidP="00820190">
      <w:pPr>
        <w:rPr>
          <w:rFonts w:asciiTheme="minorHAnsi" w:hAnsiTheme="minorHAnsi" w:cstheme="minorHAnsi"/>
          <w:iCs/>
          <w:sz w:val="24"/>
          <w:szCs w:val="24"/>
        </w:rPr>
      </w:pPr>
    </w:p>
    <w:p w14:paraId="0CBAA6A4" w14:textId="5DECEEA0" w:rsidR="00820190" w:rsidRDefault="00820190" w:rsidP="00820190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This contradicts the definition of a reference point in TR 21.905</w:t>
      </w:r>
      <w:r w:rsidR="00744183">
        <w:rPr>
          <w:rFonts w:asciiTheme="minorHAnsi" w:hAnsiTheme="minorHAnsi" w:cstheme="minorHAnsi"/>
          <w:iCs/>
          <w:sz w:val="24"/>
          <w:szCs w:val="24"/>
        </w:rPr>
        <w:t>,</w:t>
      </w:r>
      <w:r w:rsidR="0017376C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744183">
        <w:rPr>
          <w:rFonts w:asciiTheme="minorHAnsi" w:hAnsiTheme="minorHAnsi" w:cstheme="minorHAnsi"/>
          <w:iCs/>
          <w:sz w:val="24"/>
          <w:szCs w:val="24"/>
        </w:rPr>
        <w:t xml:space="preserve">which </w:t>
      </w:r>
      <w:r w:rsidR="0017376C">
        <w:rPr>
          <w:rFonts w:asciiTheme="minorHAnsi" w:hAnsiTheme="minorHAnsi" w:cstheme="minorHAnsi"/>
          <w:iCs/>
          <w:sz w:val="24"/>
          <w:szCs w:val="24"/>
        </w:rPr>
        <w:t>says:</w:t>
      </w:r>
    </w:p>
    <w:p w14:paraId="0A43EF7F" w14:textId="77777777" w:rsidR="00D843C8" w:rsidRPr="00D54F3E" w:rsidRDefault="00D843C8" w:rsidP="00D843C8">
      <w:pPr>
        <w:rPr>
          <w:i/>
          <w:iCs/>
        </w:rPr>
      </w:pPr>
      <w:r w:rsidRPr="00D54F3E">
        <w:rPr>
          <w:b/>
          <w:i/>
          <w:iCs/>
        </w:rPr>
        <w:t>Reference point</w:t>
      </w:r>
      <w:r w:rsidRPr="00D54F3E">
        <w:rPr>
          <w:b/>
          <w:i/>
          <w:iCs/>
          <w:snapToGrid w:val="0"/>
        </w:rPr>
        <w:t>:</w:t>
      </w:r>
      <w:r w:rsidRPr="00D54F3E">
        <w:rPr>
          <w:i/>
          <w:iCs/>
        </w:rPr>
        <w:t xml:space="preserve"> A conceptual point at the conjunction of two non-overlapping functional groups (source: </w:t>
      </w:r>
      <w:smartTag w:uri="urn:schemas-microsoft-com:office:smarttags" w:element="stockticker">
        <w:r w:rsidRPr="00D54F3E">
          <w:rPr>
            <w:i/>
            <w:iCs/>
          </w:rPr>
          <w:t>ITU</w:t>
        </w:r>
      </w:smartTag>
      <w:r w:rsidRPr="00D54F3E">
        <w:rPr>
          <w:i/>
          <w:iCs/>
        </w:rPr>
        <w:t>-T I.112).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55BC6A4" w14:textId="77777777" w:rsidR="00DD1FFA" w:rsidRDefault="00DD1FFA">
      <w:pPr>
        <w:rPr>
          <w:i/>
        </w:rPr>
      </w:pPr>
    </w:p>
    <w:p w14:paraId="08A3CC94" w14:textId="2AD25617" w:rsidR="00DD1FFA" w:rsidRDefault="00E67916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The proposal is to d</w:t>
      </w:r>
      <w:r w:rsidR="00DD1FFA">
        <w:rPr>
          <w:rFonts w:asciiTheme="minorHAnsi" w:hAnsiTheme="minorHAnsi" w:cstheme="minorHAnsi"/>
          <w:iCs/>
          <w:sz w:val="24"/>
          <w:szCs w:val="24"/>
        </w:rPr>
        <w:t>efine the reference point between two CHF in terms of PLMN</w:t>
      </w:r>
      <w:r w:rsidR="00415DA6">
        <w:rPr>
          <w:rFonts w:asciiTheme="minorHAnsi" w:hAnsiTheme="minorHAnsi" w:cstheme="minorHAnsi"/>
          <w:iCs/>
          <w:sz w:val="24"/>
          <w:szCs w:val="24"/>
        </w:rPr>
        <w:t>s e.g.</w:t>
      </w:r>
    </w:p>
    <w:p w14:paraId="0671641B" w14:textId="2335ED66" w:rsidR="00E45D5E" w:rsidRDefault="00E45D5E" w:rsidP="00E45D5E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N</w:t>
      </w:r>
      <w:r w:rsidR="00E72568">
        <w:rPr>
          <w:rFonts w:asciiTheme="minorHAnsi" w:hAnsiTheme="minorHAnsi" w:cstheme="minorHAnsi"/>
          <w:iCs/>
          <w:sz w:val="24"/>
          <w:szCs w:val="24"/>
        </w:rPr>
        <w:t>107</w:t>
      </w:r>
      <w:r>
        <w:rPr>
          <w:rFonts w:asciiTheme="minorHAnsi" w:hAnsiTheme="minorHAnsi" w:cstheme="minorHAnsi"/>
          <w:iCs/>
          <w:sz w:val="24"/>
          <w:szCs w:val="24"/>
        </w:rPr>
        <w:t xml:space="preserve"> for CHF in different PLMN regardless of whether </w:t>
      </w:r>
      <w:r w:rsidR="009E520A">
        <w:rPr>
          <w:rFonts w:asciiTheme="minorHAnsi" w:hAnsiTheme="minorHAnsi" w:cstheme="minorHAnsi"/>
          <w:iCs/>
          <w:sz w:val="24"/>
          <w:szCs w:val="24"/>
        </w:rPr>
        <w:t>it is</w:t>
      </w:r>
      <w:r>
        <w:rPr>
          <w:rFonts w:asciiTheme="minorHAnsi" w:hAnsiTheme="minorHAnsi" w:cstheme="minorHAnsi"/>
          <w:iCs/>
          <w:sz w:val="24"/>
          <w:szCs w:val="24"/>
        </w:rPr>
        <w:t xml:space="preserve"> used for </w:t>
      </w:r>
      <w:r w:rsidR="009E520A">
        <w:rPr>
          <w:rFonts w:asciiTheme="minorHAnsi" w:hAnsiTheme="minorHAnsi" w:cstheme="minorHAnsi"/>
          <w:iCs/>
          <w:sz w:val="24"/>
          <w:szCs w:val="24"/>
        </w:rPr>
        <w:t>roaming or MVNO charging</w:t>
      </w:r>
      <w:r>
        <w:rPr>
          <w:rFonts w:asciiTheme="minorHAnsi" w:hAnsiTheme="minorHAnsi" w:cstheme="minorHAnsi"/>
          <w:iCs/>
          <w:sz w:val="24"/>
          <w:szCs w:val="24"/>
        </w:rPr>
        <w:t xml:space="preserve"> </w:t>
      </w:r>
    </w:p>
    <w:p w14:paraId="0D4486C4" w14:textId="47365DE4" w:rsidR="00DD1FFA" w:rsidRDefault="00DD1FFA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N</w:t>
      </w:r>
      <w:r w:rsidR="00E72568">
        <w:rPr>
          <w:rFonts w:asciiTheme="minorHAnsi" w:hAnsiTheme="minorHAnsi" w:cstheme="minorHAnsi"/>
          <w:iCs/>
          <w:sz w:val="24"/>
          <w:szCs w:val="24"/>
        </w:rPr>
        <w:t>108</w:t>
      </w:r>
      <w:r w:rsidR="00E45D5E">
        <w:rPr>
          <w:rFonts w:asciiTheme="minorHAnsi" w:hAnsiTheme="minorHAnsi" w:cstheme="minorHAnsi"/>
          <w:iCs/>
          <w:sz w:val="24"/>
          <w:szCs w:val="24"/>
        </w:rPr>
        <w:t xml:space="preserve"> </w:t>
      </w:r>
      <w:r>
        <w:rPr>
          <w:rFonts w:asciiTheme="minorHAnsi" w:hAnsiTheme="minorHAnsi" w:cstheme="minorHAnsi"/>
          <w:iCs/>
          <w:sz w:val="24"/>
          <w:szCs w:val="24"/>
        </w:rPr>
        <w:t xml:space="preserve">for CHF in same PLMN regardless of whether </w:t>
      </w:r>
      <w:r w:rsidR="009E520A">
        <w:rPr>
          <w:rFonts w:asciiTheme="minorHAnsi" w:hAnsiTheme="minorHAnsi" w:cstheme="minorHAnsi"/>
          <w:iCs/>
          <w:sz w:val="24"/>
          <w:szCs w:val="24"/>
        </w:rPr>
        <w:t>it is</w:t>
      </w:r>
      <w:r>
        <w:rPr>
          <w:rFonts w:asciiTheme="minorHAnsi" w:hAnsiTheme="minorHAnsi" w:cstheme="minorHAnsi"/>
          <w:iCs/>
          <w:sz w:val="24"/>
          <w:szCs w:val="24"/>
        </w:rPr>
        <w:t xml:space="preserve"> used for </w:t>
      </w:r>
      <w:r w:rsidR="00ED3CAB">
        <w:rPr>
          <w:rFonts w:asciiTheme="minorHAnsi" w:hAnsiTheme="minorHAnsi" w:cstheme="minorHAnsi"/>
          <w:iCs/>
          <w:sz w:val="24"/>
          <w:szCs w:val="24"/>
        </w:rPr>
        <w:t>business charging or MVNO</w:t>
      </w:r>
    </w:p>
    <w:p w14:paraId="1C7B4445" w14:textId="77777777" w:rsidR="001259E4" w:rsidRDefault="001259E4">
      <w:pPr>
        <w:rPr>
          <w:rFonts w:asciiTheme="minorHAnsi" w:hAnsiTheme="minorHAnsi" w:cstheme="minorHAnsi"/>
          <w:iCs/>
          <w:sz w:val="24"/>
          <w:szCs w:val="24"/>
        </w:rPr>
      </w:pPr>
    </w:p>
    <w:p w14:paraId="4C698F53" w14:textId="4667CE66" w:rsidR="00EF4024" w:rsidRDefault="00EF4024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This </w:t>
      </w:r>
      <w:r w:rsidR="0029672B">
        <w:rPr>
          <w:rFonts w:asciiTheme="minorHAnsi" w:hAnsiTheme="minorHAnsi" w:cstheme="minorHAnsi"/>
          <w:iCs/>
          <w:sz w:val="24"/>
          <w:szCs w:val="24"/>
        </w:rPr>
        <w:t>means</w:t>
      </w:r>
      <w:r>
        <w:rPr>
          <w:rFonts w:asciiTheme="minorHAnsi" w:hAnsiTheme="minorHAnsi" w:cstheme="minorHAnsi"/>
          <w:iCs/>
          <w:sz w:val="24"/>
          <w:szCs w:val="24"/>
        </w:rPr>
        <w:t xml:space="preserve"> that if MVNO use the same PLMN as MNOs, then the </w:t>
      </w:r>
      <w:r w:rsidR="00A77706">
        <w:rPr>
          <w:rFonts w:asciiTheme="minorHAnsi" w:hAnsiTheme="minorHAnsi" w:cstheme="minorHAnsi"/>
          <w:iCs/>
          <w:sz w:val="24"/>
          <w:szCs w:val="24"/>
        </w:rPr>
        <w:t xml:space="preserve">reference point </w:t>
      </w:r>
      <w:r>
        <w:rPr>
          <w:rFonts w:asciiTheme="minorHAnsi" w:hAnsiTheme="minorHAnsi" w:cstheme="minorHAnsi"/>
          <w:iCs/>
          <w:sz w:val="24"/>
          <w:szCs w:val="24"/>
        </w:rPr>
        <w:t xml:space="preserve"> between MNO CHF and A-CHF would use N108</w:t>
      </w:r>
    </w:p>
    <w:p w14:paraId="0C73AFC9" w14:textId="3028B896" w:rsidR="00EF4024" w:rsidRDefault="00EF4024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And if MVNO use a different PLMN than MNO, then the </w:t>
      </w:r>
      <w:r w:rsidR="00A77706">
        <w:rPr>
          <w:rFonts w:asciiTheme="minorHAnsi" w:hAnsiTheme="minorHAnsi" w:cstheme="minorHAnsi"/>
          <w:iCs/>
          <w:sz w:val="24"/>
          <w:szCs w:val="24"/>
        </w:rPr>
        <w:t xml:space="preserve"> reference point</w:t>
      </w:r>
      <w:r>
        <w:rPr>
          <w:rFonts w:asciiTheme="minorHAnsi" w:hAnsiTheme="minorHAnsi" w:cstheme="minorHAnsi"/>
          <w:iCs/>
          <w:sz w:val="24"/>
          <w:szCs w:val="24"/>
        </w:rPr>
        <w:t xml:space="preserve"> between the two CHFs would use N107.</w:t>
      </w:r>
    </w:p>
    <w:p w14:paraId="39BEE9FD" w14:textId="77777777" w:rsidR="0026390A" w:rsidRDefault="0026390A">
      <w:pPr>
        <w:rPr>
          <w:rFonts w:asciiTheme="minorHAnsi" w:hAnsiTheme="minorHAnsi" w:cstheme="minorHAnsi"/>
          <w:iCs/>
          <w:sz w:val="24"/>
          <w:szCs w:val="24"/>
        </w:rPr>
      </w:pPr>
    </w:p>
    <w:p w14:paraId="615C4AA6" w14:textId="5978AA32" w:rsidR="00BC23C2" w:rsidRDefault="00BC23C2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lastRenderedPageBreak/>
        <w:t xml:space="preserve">If an MVNO uses </w:t>
      </w:r>
      <w:r w:rsidR="00DE3303">
        <w:rPr>
          <w:rFonts w:asciiTheme="minorHAnsi" w:hAnsiTheme="minorHAnsi" w:cstheme="minorHAnsi"/>
          <w:iCs/>
          <w:sz w:val="24"/>
          <w:szCs w:val="24"/>
        </w:rPr>
        <w:t>the same PLMN as MNO, the</w:t>
      </w:r>
      <w:r w:rsidR="00B151D8">
        <w:rPr>
          <w:rFonts w:asciiTheme="minorHAnsi" w:hAnsiTheme="minorHAnsi" w:cstheme="minorHAnsi"/>
          <w:iCs/>
          <w:sz w:val="24"/>
          <w:szCs w:val="24"/>
        </w:rPr>
        <w:t xml:space="preserve">n the charging architecture </w:t>
      </w:r>
      <w:r w:rsidR="00046C9D">
        <w:rPr>
          <w:rFonts w:asciiTheme="minorHAnsi" w:hAnsiTheme="minorHAnsi" w:cstheme="minorHAnsi"/>
          <w:iCs/>
          <w:sz w:val="24"/>
          <w:szCs w:val="24"/>
        </w:rPr>
        <w:t>between vi</w:t>
      </w:r>
      <w:r w:rsidR="002B352E">
        <w:rPr>
          <w:rFonts w:asciiTheme="minorHAnsi" w:hAnsiTheme="minorHAnsi" w:cstheme="minorHAnsi"/>
          <w:iCs/>
          <w:sz w:val="24"/>
          <w:szCs w:val="24"/>
        </w:rPr>
        <w:t xml:space="preserve">sited MNO, home MNO and MVNO/Additional Actor </w:t>
      </w:r>
      <w:r w:rsidR="00F86294">
        <w:rPr>
          <w:rFonts w:asciiTheme="minorHAnsi" w:hAnsiTheme="minorHAnsi" w:cstheme="minorHAnsi"/>
          <w:iCs/>
          <w:sz w:val="24"/>
          <w:szCs w:val="24"/>
        </w:rPr>
        <w:t>uses N</w:t>
      </w:r>
      <w:r w:rsidR="00521D4D">
        <w:rPr>
          <w:rFonts w:asciiTheme="minorHAnsi" w:hAnsiTheme="minorHAnsi" w:cstheme="minorHAnsi"/>
          <w:iCs/>
          <w:sz w:val="24"/>
          <w:szCs w:val="24"/>
        </w:rPr>
        <w:t>10</w:t>
      </w:r>
      <w:r w:rsidR="00F86294">
        <w:rPr>
          <w:rFonts w:asciiTheme="minorHAnsi" w:hAnsiTheme="minorHAnsi" w:cstheme="minorHAnsi"/>
          <w:iCs/>
          <w:sz w:val="24"/>
          <w:szCs w:val="24"/>
        </w:rPr>
        <w:t xml:space="preserve">7 for inter-PLMN and N108 for intra-PLMN </w:t>
      </w:r>
      <w:r w:rsidR="007E3F25">
        <w:rPr>
          <w:rFonts w:asciiTheme="minorHAnsi" w:hAnsiTheme="minorHAnsi" w:cstheme="minorHAnsi"/>
          <w:iCs/>
          <w:sz w:val="24"/>
          <w:szCs w:val="24"/>
        </w:rPr>
        <w:t>interface between two CHF</w:t>
      </w:r>
      <w:r w:rsidR="00B151D8">
        <w:rPr>
          <w:rFonts w:asciiTheme="minorHAnsi" w:hAnsiTheme="minorHAnsi" w:cstheme="minorHAnsi"/>
          <w:iCs/>
          <w:sz w:val="24"/>
          <w:szCs w:val="24"/>
        </w:rPr>
        <w:t xml:space="preserve"> </w:t>
      </w:r>
    </w:p>
    <w:p w14:paraId="21FD1458" w14:textId="77777777" w:rsidR="00B151D8" w:rsidRDefault="00B151D8">
      <w:pPr>
        <w:rPr>
          <w:rFonts w:asciiTheme="minorHAnsi" w:hAnsiTheme="minorHAnsi" w:cstheme="minorHAnsi"/>
          <w:iCs/>
          <w:sz w:val="24"/>
          <w:szCs w:val="24"/>
        </w:rPr>
      </w:pPr>
    </w:p>
    <w:p w14:paraId="26314E05" w14:textId="3602C841" w:rsidR="0026390A" w:rsidRDefault="0086772A">
      <w:r>
        <w:object w:dxaOrig="10740" w:dyaOrig="7260" w14:anchorId="2D26DC74">
          <v:shape id="_x0000_i1032" type="#_x0000_t75" style="width:396.75pt;height:268.5pt" o:ole="">
            <v:imagedata r:id="rId18" o:title=""/>
          </v:shape>
          <o:OLEObject Type="Embed" ProgID="Visio.Drawing.15" ShapeID="_x0000_i1032" DrawAspect="Content" ObjectID="_1789508855" r:id="rId19"/>
        </w:object>
      </w:r>
    </w:p>
    <w:p w14:paraId="48C2E78F" w14:textId="77777777" w:rsidR="00521D4D" w:rsidRDefault="00521D4D"/>
    <w:p w14:paraId="5A245C61" w14:textId="05262219" w:rsidR="00521D4D" w:rsidRDefault="00521D4D" w:rsidP="00521D4D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If an MVNO uses </w:t>
      </w:r>
      <w:r>
        <w:rPr>
          <w:rFonts w:asciiTheme="minorHAnsi" w:hAnsiTheme="minorHAnsi" w:cstheme="minorHAnsi"/>
          <w:iCs/>
          <w:sz w:val="24"/>
          <w:szCs w:val="24"/>
        </w:rPr>
        <w:t>a different</w:t>
      </w:r>
      <w:r>
        <w:rPr>
          <w:rFonts w:asciiTheme="minorHAnsi" w:hAnsiTheme="minorHAnsi" w:cstheme="minorHAnsi"/>
          <w:iCs/>
          <w:sz w:val="24"/>
          <w:szCs w:val="24"/>
        </w:rPr>
        <w:t xml:space="preserve"> PLMN as MNO, then the charging architecture between visited MNO, home MNO and MVNO/Additional Actor uses N</w:t>
      </w:r>
      <w:r>
        <w:rPr>
          <w:rFonts w:asciiTheme="minorHAnsi" w:hAnsiTheme="minorHAnsi" w:cstheme="minorHAnsi"/>
          <w:iCs/>
          <w:sz w:val="24"/>
          <w:szCs w:val="24"/>
        </w:rPr>
        <w:t>10</w:t>
      </w:r>
      <w:r>
        <w:rPr>
          <w:rFonts w:asciiTheme="minorHAnsi" w:hAnsiTheme="minorHAnsi" w:cstheme="minorHAnsi"/>
          <w:iCs/>
          <w:sz w:val="24"/>
          <w:szCs w:val="24"/>
        </w:rPr>
        <w:t xml:space="preserve">7 for inter-PLMN interface between two CHF </w:t>
      </w:r>
    </w:p>
    <w:p w14:paraId="6DB52A4A" w14:textId="140AA378" w:rsidR="00521D4D" w:rsidRDefault="0086772A">
      <w:r>
        <w:object w:dxaOrig="10740" w:dyaOrig="7440" w14:anchorId="5B9B9C0B">
          <v:shape id="_x0000_i1033" type="#_x0000_t75" style="width:419.25pt;height:290.25pt" o:ole="">
            <v:imagedata r:id="rId20" o:title=""/>
          </v:shape>
          <o:OLEObject Type="Embed" ProgID="Visio.Drawing.15" ShapeID="_x0000_i1033" DrawAspect="Content" ObjectID="_1789508856" r:id="rId21"/>
        </w:object>
      </w:r>
    </w:p>
    <w:p w14:paraId="65143160" w14:textId="77777777" w:rsidR="00BC23C2" w:rsidRDefault="00BC23C2" w:rsidP="00BC23C2">
      <w:pPr>
        <w:rPr>
          <w:rFonts w:asciiTheme="minorHAnsi" w:hAnsiTheme="minorHAnsi" w:cstheme="minorHAnsi"/>
          <w:iCs/>
          <w:sz w:val="24"/>
          <w:szCs w:val="24"/>
        </w:rPr>
      </w:pPr>
    </w:p>
    <w:p w14:paraId="63AC53B5" w14:textId="380209C3" w:rsidR="00BC23C2" w:rsidRDefault="00BC23C2" w:rsidP="0086772A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If agreed, TS 32.240, TS 32.255 and TS 32.256 would need updates as per above proposal.</w:t>
      </w:r>
    </w:p>
    <w:sectPr w:rsidR="00BC23C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0E295" w14:textId="77777777" w:rsidR="00D538BF" w:rsidRDefault="00D538BF">
      <w:r>
        <w:separator/>
      </w:r>
    </w:p>
  </w:endnote>
  <w:endnote w:type="continuationSeparator" w:id="0">
    <w:p w14:paraId="4F1F1DE6" w14:textId="77777777" w:rsidR="00D538BF" w:rsidRDefault="00D538BF">
      <w:r>
        <w:continuationSeparator/>
      </w:r>
    </w:p>
  </w:endnote>
  <w:endnote w:type="continuationNotice" w:id="1">
    <w:p w14:paraId="3C686385" w14:textId="77777777" w:rsidR="00D538BF" w:rsidRDefault="00D538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B545B" w14:textId="77777777" w:rsidR="00D538BF" w:rsidRDefault="00D538BF">
      <w:r>
        <w:separator/>
      </w:r>
    </w:p>
  </w:footnote>
  <w:footnote w:type="continuationSeparator" w:id="0">
    <w:p w14:paraId="7B36CAB8" w14:textId="77777777" w:rsidR="00D538BF" w:rsidRDefault="00D538BF">
      <w:r>
        <w:continuationSeparator/>
      </w:r>
    </w:p>
  </w:footnote>
  <w:footnote w:type="continuationNotice" w:id="1">
    <w:p w14:paraId="64ADCBB9" w14:textId="77777777" w:rsidR="00D538BF" w:rsidRDefault="00D538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149135D"/>
    <w:multiLevelType w:val="hybridMultilevel"/>
    <w:tmpl w:val="36F84F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E97420"/>
    <w:multiLevelType w:val="hybridMultilevel"/>
    <w:tmpl w:val="39B64AD0"/>
    <w:lvl w:ilvl="0" w:tplc="BCAE00C0">
      <w:numFmt w:val="bullet"/>
      <w:lvlText w:val="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BA71827"/>
    <w:multiLevelType w:val="hybridMultilevel"/>
    <w:tmpl w:val="29F85436"/>
    <w:lvl w:ilvl="0" w:tplc="EAF0BE90">
      <w:start w:val="4"/>
      <w:numFmt w:val="bullet"/>
      <w:lvlText w:val=""/>
      <w:lvlJc w:val="left"/>
      <w:pPr>
        <w:ind w:left="930" w:hanging="360"/>
      </w:pPr>
      <w:rPr>
        <w:rFonts w:ascii="Wingdings" w:eastAsia="SimSun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8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4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545873112">
    <w:abstractNumId w:val="16"/>
  </w:num>
  <w:num w:numId="24" w16cid:durableId="504437030">
    <w:abstractNumId w:val="22"/>
  </w:num>
  <w:num w:numId="25" w16cid:durableId="212075989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C10"/>
    <w:rsid w:val="00012515"/>
    <w:rsid w:val="00017955"/>
    <w:rsid w:val="0002010F"/>
    <w:rsid w:val="000230A3"/>
    <w:rsid w:val="0002414B"/>
    <w:rsid w:val="00046389"/>
    <w:rsid w:val="00046C9D"/>
    <w:rsid w:val="00061A5E"/>
    <w:rsid w:val="00074722"/>
    <w:rsid w:val="00076FF4"/>
    <w:rsid w:val="000777E2"/>
    <w:rsid w:val="0008083D"/>
    <w:rsid w:val="000819D8"/>
    <w:rsid w:val="00085D0B"/>
    <w:rsid w:val="000934A6"/>
    <w:rsid w:val="000A2C6C"/>
    <w:rsid w:val="000A4660"/>
    <w:rsid w:val="000A6BBB"/>
    <w:rsid w:val="000D1B5B"/>
    <w:rsid w:val="000E626A"/>
    <w:rsid w:val="000F02FE"/>
    <w:rsid w:val="000F0782"/>
    <w:rsid w:val="00102EA7"/>
    <w:rsid w:val="001033FB"/>
    <w:rsid w:val="0010401F"/>
    <w:rsid w:val="0011131A"/>
    <w:rsid w:val="00112FC3"/>
    <w:rsid w:val="0011460A"/>
    <w:rsid w:val="001259E4"/>
    <w:rsid w:val="00125BD4"/>
    <w:rsid w:val="001326CF"/>
    <w:rsid w:val="001343B4"/>
    <w:rsid w:val="00147E06"/>
    <w:rsid w:val="00151570"/>
    <w:rsid w:val="00162928"/>
    <w:rsid w:val="00164876"/>
    <w:rsid w:val="00171A47"/>
    <w:rsid w:val="0017376C"/>
    <w:rsid w:val="00173FA3"/>
    <w:rsid w:val="0018245D"/>
    <w:rsid w:val="001848CF"/>
    <w:rsid w:val="00184B6F"/>
    <w:rsid w:val="001861E5"/>
    <w:rsid w:val="001948BB"/>
    <w:rsid w:val="001969DA"/>
    <w:rsid w:val="00197930"/>
    <w:rsid w:val="001A4EC0"/>
    <w:rsid w:val="001B1652"/>
    <w:rsid w:val="001B2086"/>
    <w:rsid w:val="001B4FBE"/>
    <w:rsid w:val="001C3EC8"/>
    <w:rsid w:val="001D2BD4"/>
    <w:rsid w:val="001D4258"/>
    <w:rsid w:val="001D4F87"/>
    <w:rsid w:val="001D6911"/>
    <w:rsid w:val="001E1454"/>
    <w:rsid w:val="001E4833"/>
    <w:rsid w:val="001F6A38"/>
    <w:rsid w:val="00201947"/>
    <w:rsid w:val="0020395B"/>
    <w:rsid w:val="002046CB"/>
    <w:rsid w:val="00204DC9"/>
    <w:rsid w:val="002062C0"/>
    <w:rsid w:val="00206533"/>
    <w:rsid w:val="0021084D"/>
    <w:rsid w:val="00212104"/>
    <w:rsid w:val="00212C47"/>
    <w:rsid w:val="00215130"/>
    <w:rsid w:val="00223F82"/>
    <w:rsid w:val="00225BD6"/>
    <w:rsid w:val="002277D4"/>
    <w:rsid w:val="00230002"/>
    <w:rsid w:val="00231B58"/>
    <w:rsid w:val="00233147"/>
    <w:rsid w:val="00234156"/>
    <w:rsid w:val="002408E1"/>
    <w:rsid w:val="00244C9A"/>
    <w:rsid w:val="00247216"/>
    <w:rsid w:val="002526B9"/>
    <w:rsid w:val="0025366B"/>
    <w:rsid w:val="00254613"/>
    <w:rsid w:val="00261F6D"/>
    <w:rsid w:val="0026390A"/>
    <w:rsid w:val="00266700"/>
    <w:rsid w:val="00274477"/>
    <w:rsid w:val="00280089"/>
    <w:rsid w:val="002944C7"/>
    <w:rsid w:val="0029672B"/>
    <w:rsid w:val="002A1857"/>
    <w:rsid w:val="002B352E"/>
    <w:rsid w:val="002B41EF"/>
    <w:rsid w:val="002B7930"/>
    <w:rsid w:val="002C6D84"/>
    <w:rsid w:val="002C7F38"/>
    <w:rsid w:val="002D01A4"/>
    <w:rsid w:val="002F3C3E"/>
    <w:rsid w:val="002F7C79"/>
    <w:rsid w:val="00302CB0"/>
    <w:rsid w:val="0030628A"/>
    <w:rsid w:val="003367D8"/>
    <w:rsid w:val="003423B4"/>
    <w:rsid w:val="0034423D"/>
    <w:rsid w:val="0035122B"/>
    <w:rsid w:val="00353451"/>
    <w:rsid w:val="00360000"/>
    <w:rsid w:val="003612BE"/>
    <w:rsid w:val="00365672"/>
    <w:rsid w:val="00371032"/>
    <w:rsid w:val="00371B44"/>
    <w:rsid w:val="00372ABD"/>
    <w:rsid w:val="00381001"/>
    <w:rsid w:val="00391555"/>
    <w:rsid w:val="003927C6"/>
    <w:rsid w:val="00393463"/>
    <w:rsid w:val="00397B32"/>
    <w:rsid w:val="00397F93"/>
    <w:rsid w:val="003A4BB2"/>
    <w:rsid w:val="003B4C03"/>
    <w:rsid w:val="003C122B"/>
    <w:rsid w:val="003C4713"/>
    <w:rsid w:val="003C5A97"/>
    <w:rsid w:val="003C79C3"/>
    <w:rsid w:val="003C7A04"/>
    <w:rsid w:val="003D187F"/>
    <w:rsid w:val="003D546B"/>
    <w:rsid w:val="003D68D5"/>
    <w:rsid w:val="003F0FE3"/>
    <w:rsid w:val="003F52B2"/>
    <w:rsid w:val="00415DA6"/>
    <w:rsid w:val="0041632F"/>
    <w:rsid w:val="004234F9"/>
    <w:rsid w:val="0043532A"/>
    <w:rsid w:val="00436254"/>
    <w:rsid w:val="004366D5"/>
    <w:rsid w:val="004403B7"/>
    <w:rsid w:val="00440414"/>
    <w:rsid w:val="0045054D"/>
    <w:rsid w:val="00451FF3"/>
    <w:rsid w:val="004523B0"/>
    <w:rsid w:val="004558E9"/>
    <w:rsid w:val="0045777E"/>
    <w:rsid w:val="00464E8C"/>
    <w:rsid w:val="0048021E"/>
    <w:rsid w:val="00481D0D"/>
    <w:rsid w:val="00485244"/>
    <w:rsid w:val="004971E3"/>
    <w:rsid w:val="004A4147"/>
    <w:rsid w:val="004B3753"/>
    <w:rsid w:val="004C31D2"/>
    <w:rsid w:val="004C5E86"/>
    <w:rsid w:val="004D55C2"/>
    <w:rsid w:val="004F5A0A"/>
    <w:rsid w:val="004F7BFB"/>
    <w:rsid w:val="005019B6"/>
    <w:rsid w:val="0050765C"/>
    <w:rsid w:val="005169BB"/>
    <w:rsid w:val="00521131"/>
    <w:rsid w:val="00521D4D"/>
    <w:rsid w:val="00525299"/>
    <w:rsid w:val="00527C0B"/>
    <w:rsid w:val="005303AF"/>
    <w:rsid w:val="00537907"/>
    <w:rsid w:val="005410F6"/>
    <w:rsid w:val="00541680"/>
    <w:rsid w:val="00543793"/>
    <w:rsid w:val="00545284"/>
    <w:rsid w:val="00547F06"/>
    <w:rsid w:val="00553929"/>
    <w:rsid w:val="0055412D"/>
    <w:rsid w:val="00555DB9"/>
    <w:rsid w:val="00562F66"/>
    <w:rsid w:val="00566C5A"/>
    <w:rsid w:val="005729C4"/>
    <w:rsid w:val="005776A3"/>
    <w:rsid w:val="00577BC6"/>
    <w:rsid w:val="005828D7"/>
    <w:rsid w:val="00583EA2"/>
    <w:rsid w:val="0059227B"/>
    <w:rsid w:val="005946BB"/>
    <w:rsid w:val="005A0E2E"/>
    <w:rsid w:val="005A2546"/>
    <w:rsid w:val="005A32A6"/>
    <w:rsid w:val="005A66D1"/>
    <w:rsid w:val="005B0966"/>
    <w:rsid w:val="005B795D"/>
    <w:rsid w:val="005C38A3"/>
    <w:rsid w:val="005C6EC9"/>
    <w:rsid w:val="005C7731"/>
    <w:rsid w:val="005F3F17"/>
    <w:rsid w:val="00605266"/>
    <w:rsid w:val="00610508"/>
    <w:rsid w:val="00613820"/>
    <w:rsid w:val="0063355E"/>
    <w:rsid w:val="00645C90"/>
    <w:rsid w:val="00647083"/>
    <w:rsid w:val="00650DA9"/>
    <w:rsid w:val="00652248"/>
    <w:rsid w:val="00653C99"/>
    <w:rsid w:val="00657B80"/>
    <w:rsid w:val="00665838"/>
    <w:rsid w:val="0067373D"/>
    <w:rsid w:val="00675B3C"/>
    <w:rsid w:val="0069495C"/>
    <w:rsid w:val="006B0CD9"/>
    <w:rsid w:val="006C3A50"/>
    <w:rsid w:val="006C7A53"/>
    <w:rsid w:val="006D270C"/>
    <w:rsid w:val="006D340A"/>
    <w:rsid w:val="006D57B4"/>
    <w:rsid w:val="006E1E6B"/>
    <w:rsid w:val="006F6D9F"/>
    <w:rsid w:val="00704418"/>
    <w:rsid w:val="00706418"/>
    <w:rsid w:val="00714054"/>
    <w:rsid w:val="00715A1D"/>
    <w:rsid w:val="00716B22"/>
    <w:rsid w:val="00716B32"/>
    <w:rsid w:val="00726EE7"/>
    <w:rsid w:val="00727B79"/>
    <w:rsid w:val="0073601F"/>
    <w:rsid w:val="00740270"/>
    <w:rsid w:val="0074200C"/>
    <w:rsid w:val="00744183"/>
    <w:rsid w:val="007478B3"/>
    <w:rsid w:val="007515B0"/>
    <w:rsid w:val="00760BB0"/>
    <w:rsid w:val="0076157A"/>
    <w:rsid w:val="00772EDA"/>
    <w:rsid w:val="00784593"/>
    <w:rsid w:val="007952AB"/>
    <w:rsid w:val="007A00EF"/>
    <w:rsid w:val="007B19EA"/>
    <w:rsid w:val="007C0A2D"/>
    <w:rsid w:val="007C27B0"/>
    <w:rsid w:val="007C585B"/>
    <w:rsid w:val="007C6580"/>
    <w:rsid w:val="007D58C7"/>
    <w:rsid w:val="007D6E55"/>
    <w:rsid w:val="007E2D6D"/>
    <w:rsid w:val="007E3F25"/>
    <w:rsid w:val="007F072C"/>
    <w:rsid w:val="007F300B"/>
    <w:rsid w:val="008014C3"/>
    <w:rsid w:val="00801BA7"/>
    <w:rsid w:val="00812587"/>
    <w:rsid w:val="00814F54"/>
    <w:rsid w:val="00816B10"/>
    <w:rsid w:val="00820190"/>
    <w:rsid w:val="00827882"/>
    <w:rsid w:val="008303C9"/>
    <w:rsid w:val="00831801"/>
    <w:rsid w:val="00850812"/>
    <w:rsid w:val="00863AA4"/>
    <w:rsid w:val="0086772A"/>
    <w:rsid w:val="00870480"/>
    <w:rsid w:val="00876B9A"/>
    <w:rsid w:val="00886CBD"/>
    <w:rsid w:val="00887CA8"/>
    <w:rsid w:val="008933BF"/>
    <w:rsid w:val="00894E4B"/>
    <w:rsid w:val="008A10C4"/>
    <w:rsid w:val="008A2690"/>
    <w:rsid w:val="008A2A55"/>
    <w:rsid w:val="008B0248"/>
    <w:rsid w:val="008B268E"/>
    <w:rsid w:val="008B6EB3"/>
    <w:rsid w:val="008C2DF1"/>
    <w:rsid w:val="008D191D"/>
    <w:rsid w:val="008D3A2B"/>
    <w:rsid w:val="008E2B9D"/>
    <w:rsid w:val="008F25D9"/>
    <w:rsid w:val="008F5F33"/>
    <w:rsid w:val="00903E13"/>
    <w:rsid w:val="0091015C"/>
    <w:rsid w:val="0091046A"/>
    <w:rsid w:val="00911EBB"/>
    <w:rsid w:val="0091567B"/>
    <w:rsid w:val="00926ABD"/>
    <w:rsid w:val="00927B71"/>
    <w:rsid w:val="00943379"/>
    <w:rsid w:val="00943AE4"/>
    <w:rsid w:val="009444EE"/>
    <w:rsid w:val="00947F4E"/>
    <w:rsid w:val="009577C1"/>
    <w:rsid w:val="00966D47"/>
    <w:rsid w:val="00970C56"/>
    <w:rsid w:val="0097683E"/>
    <w:rsid w:val="009823E4"/>
    <w:rsid w:val="00983B08"/>
    <w:rsid w:val="00986E12"/>
    <w:rsid w:val="00992312"/>
    <w:rsid w:val="009B7C9C"/>
    <w:rsid w:val="009C0DED"/>
    <w:rsid w:val="009C5BAA"/>
    <w:rsid w:val="009E520A"/>
    <w:rsid w:val="00A004B4"/>
    <w:rsid w:val="00A056C3"/>
    <w:rsid w:val="00A20ED6"/>
    <w:rsid w:val="00A35A0E"/>
    <w:rsid w:val="00A37D7F"/>
    <w:rsid w:val="00A401A0"/>
    <w:rsid w:val="00A453C1"/>
    <w:rsid w:val="00A46410"/>
    <w:rsid w:val="00A47A0E"/>
    <w:rsid w:val="00A57688"/>
    <w:rsid w:val="00A6313B"/>
    <w:rsid w:val="00A65672"/>
    <w:rsid w:val="00A73A94"/>
    <w:rsid w:val="00A75B49"/>
    <w:rsid w:val="00A77706"/>
    <w:rsid w:val="00A80E92"/>
    <w:rsid w:val="00A81469"/>
    <w:rsid w:val="00A842E9"/>
    <w:rsid w:val="00A84A94"/>
    <w:rsid w:val="00AB1E97"/>
    <w:rsid w:val="00AB1FDA"/>
    <w:rsid w:val="00AB57C5"/>
    <w:rsid w:val="00AC07BE"/>
    <w:rsid w:val="00AC48F7"/>
    <w:rsid w:val="00AD1DAA"/>
    <w:rsid w:val="00AD2B9A"/>
    <w:rsid w:val="00AD52C4"/>
    <w:rsid w:val="00AE2441"/>
    <w:rsid w:val="00AF1E23"/>
    <w:rsid w:val="00AF2129"/>
    <w:rsid w:val="00AF7F7F"/>
    <w:rsid w:val="00AF7F81"/>
    <w:rsid w:val="00B01AFF"/>
    <w:rsid w:val="00B03CB5"/>
    <w:rsid w:val="00B05CC7"/>
    <w:rsid w:val="00B0697C"/>
    <w:rsid w:val="00B151D8"/>
    <w:rsid w:val="00B17CD6"/>
    <w:rsid w:val="00B208D9"/>
    <w:rsid w:val="00B27657"/>
    <w:rsid w:val="00B27E39"/>
    <w:rsid w:val="00B32E48"/>
    <w:rsid w:val="00B33556"/>
    <w:rsid w:val="00B33755"/>
    <w:rsid w:val="00B350D8"/>
    <w:rsid w:val="00B40E10"/>
    <w:rsid w:val="00B432B6"/>
    <w:rsid w:val="00B437BA"/>
    <w:rsid w:val="00B52E25"/>
    <w:rsid w:val="00B568CC"/>
    <w:rsid w:val="00B61A24"/>
    <w:rsid w:val="00B723C8"/>
    <w:rsid w:val="00B76763"/>
    <w:rsid w:val="00B7732B"/>
    <w:rsid w:val="00B86518"/>
    <w:rsid w:val="00B879F0"/>
    <w:rsid w:val="00B971C4"/>
    <w:rsid w:val="00BB26FA"/>
    <w:rsid w:val="00BB306A"/>
    <w:rsid w:val="00BB6C64"/>
    <w:rsid w:val="00BC23C2"/>
    <w:rsid w:val="00BC25AA"/>
    <w:rsid w:val="00BC39BC"/>
    <w:rsid w:val="00BC56CB"/>
    <w:rsid w:val="00BD05AB"/>
    <w:rsid w:val="00BD4FDC"/>
    <w:rsid w:val="00BD5EEB"/>
    <w:rsid w:val="00BE4C70"/>
    <w:rsid w:val="00BF682E"/>
    <w:rsid w:val="00C01FA8"/>
    <w:rsid w:val="00C022E3"/>
    <w:rsid w:val="00C22D17"/>
    <w:rsid w:val="00C26BB2"/>
    <w:rsid w:val="00C431E2"/>
    <w:rsid w:val="00C464A6"/>
    <w:rsid w:val="00C466EB"/>
    <w:rsid w:val="00C4712D"/>
    <w:rsid w:val="00C474F6"/>
    <w:rsid w:val="00C555C9"/>
    <w:rsid w:val="00C6648A"/>
    <w:rsid w:val="00C801E2"/>
    <w:rsid w:val="00C8291E"/>
    <w:rsid w:val="00C87272"/>
    <w:rsid w:val="00C94995"/>
    <w:rsid w:val="00C94F55"/>
    <w:rsid w:val="00C974BA"/>
    <w:rsid w:val="00CA5DB8"/>
    <w:rsid w:val="00CA7D62"/>
    <w:rsid w:val="00CB07A8"/>
    <w:rsid w:val="00CB0D4F"/>
    <w:rsid w:val="00CB6B90"/>
    <w:rsid w:val="00CB7768"/>
    <w:rsid w:val="00CD26F1"/>
    <w:rsid w:val="00CD4A57"/>
    <w:rsid w:val="00CE2FEF"/>
    <w:rsid w:val="00CE6507"/>
    <w:rsid w:val="00CF2C75"/>
    <w:rsid w:val="00CF4102"/>
    <w:rsid w:val="00CF5C7A"/>
    <w:rsid w:val="00D07460"/>
    <w:rsid w:val="00D133D9"/>
    <w:rsid w:val="00D146F1"/>
    <w:rsid w:val="00D24833"/>
    <w:rsid w:val="00D33604"/>
    <w:rsid w:val="00D37B08"/>
    <w:rsid w:val="00D437FF"/>
    <w:rsid w:val="00D50F0E"/>
    <w:rsid w:val="00D5130C"/>
    <w:rsid w:val="00D538BF"/>
    <w:rsid w:val="00D54F3E"/>
    <w:rsid w:val="00D55F2F"/>
    <w:rsid w:val="00D577B2"/>
    <w:rsid w:val="00D62265"/>
    <w:rsid w:val="00D73770"/>
    <w:rsid w:val="00D8249C"/>
    <w:rsid w:val="00D843C8"/>
    <w:rsid w:val="00D84EE7"/>
    <w:rsid w:val="00D8512E"/>
    <w:rsid w:val="00DA1E58"/>
    <w:rsid w:val="00DB75B8"/>
    <w:rsid w:val="00DC1055"/>
    <w:rsid w:val="00DC62D9"/>
    <w:rsid w:val="00DD1FFA"/>
    <w:rsid w:val="00DE3303"/>
    <w:rsid w:val="00DE4EF2"/>
    <w:rsid w:val="00DF0F93"/>
    <w:rsid w:val="00DF2C0E"/>
    <w:rsid w:val="00E04DB6"/>
    <w:rsid w:val="00E06FFB"/>
    <w:rsid w:val="00E13548"/>
    <w:rsid w:val="00E144FA"/>
    <w:rsid w:val="00E15E97"/>
    <w:rsid w:val="00E30155"/>
    <w:rsid w:val="00E34AEE"/>
    <w:rsid w:val="00E34C80"/>
    <w:rsid w:val="00E357AA"/>
    <w:rsid w:val="00E41B52"/>
    <w:rsid w:val="00E43CD5"/>
    <w:rsid w:val="00E45D5E"/>
    <w:rsid w:val="00E56F4E"/>
    <w:rsid w:val="00E61CDF"/>
    <w:rsid w:val="00E65DBB"/>
    <w:rsid w:val="00E67916"/>
    <w:rsid w:val="00E72568"/>
    <w:rsid w:val="00E833CB"/>
    <w:rsid w:val="00E86142"/>
    <w:rsid w:val="00E91FE1"/>
    <w:rsid w:val="00E96CE7"/>
    <w:rsid w:val="00EA5E95"/>
    <w:rsid w:val="00EA68ED"/>
    <w:rsid w:val="00EB1936"/>
    <w:rsid w:val="00EB4746"/>
    <w:rsid w:val="00ED3CAB"/>
    <w:rsid w:val="00ED4954"/>
    <w:rsid w:val="00ED5A43"/>
    <w:rsid w:val="00EE0943"/>
    <w:rsid w:val="00EE19E7"/>
    <w:rsid w:val="00EE33A2"/>
    <w:rsid w:val="00EE3EBB"/>
    <w:rsid w:val="00EF1735"/>
    <w:rsid w:val="00EF4024"/>
    <w:rsid w:val="00F2142C"/>
    <w:rsid w:val="00F33712"/>
    <w:rsid w:val="00F343C0"/>
    <w:rsid w:val="00F364FF"/>
    <w:rsid w:val="00F40A1F"/>
    <w:rsid w:val="00F526B6"/>
    <w:rsid w:val="00F60D15"/>
    <w:rsid w:val="00F67A1C"/>
    <w:rsid w:val="00F7396C"/>
    <w:rsid w:val="00F82C5B"/>
    <w:rsid w:val="00F85325"/>
    <w:rsid w:val="00F8555F"/>
    <w:rsid w:val="00F86294"/>
    <w:rsid w:val="00FA1DB6"/>
    <w:rsid w:val="00FB0B3F"/>
    <w:rsid w:val="00FB3E36"/>
    <w:rsid w:val="00FB7817"/>
    <w:rsid w:val="00FC3C34"/>
    <w:rsid w:val="00FC5A02"/>
    <w:rsid w:val="00FD6137"/>
    <w:rsid w:val="00FE6F70"/>
    <w:rsid w:val="00FF2232"/>
    <w:rsid w:val="00FF2968"/>
    <w:rsid w:val="00FF4910"/>
    <w:rsid w:val="00FF7689"/>
    <w:rsid w:val="1D90F286"/>
    <w:rsid w:val="6654096C"/>
    <w:rsid w:val="6697B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4"/>
    <o:shapelayout v:ext="edit">
      <o:idmap v:ext="edit" data="2"/>
    </o:shapelayout>
  </w:shapeDefaults>
  <w:decimalSymbol w:val="."/>
  <w:listSeparator w:val=","/>
  <w14:docId w14:val="236E970A"/>
  <w15:chartTrackingRefBased/>
  <w15:docId w15:val="{1E0EF611-CA5D-40D0-AA87-73FDDCBAA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1D4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5A254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566C5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E43CD5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40270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61A24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1.vsdx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openxmlformats.org/officeDocument/2006/relationships/oleObject" Target="embeddings/Microsoft_Visio_2003-2010_Drawing2.vsd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package" Target="embeddings/Microsoft_Visio_Drawing.vsd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09611976-0FA8-4A4D-AABE-E09C8ECC99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10FAA2-7CA5-429B-8522-61206F58FB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9467BF-E1CD-479F-8A10-0ABD453F964F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2300</TotalTime>
  <Pages>6</Pages>
  <Words>1426</Words>
  <Characters>7193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8602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MG</cp:lastModifiedBy>
  <cp:revision>268</cp:revision>
  <cp:lastPrinted>1900-01-01T08:00:00Z</cp:lastPrinted>
  <dcterms:created xsi:type="dcterms:W3CDTF">2024-09-17T19:23:00Z</dcterms:created>
  <dcterms:modified xsi:type="dcterms:W3CDTF">2024-10-04T03:41:00Z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0x0101003944D93C7E246943A42D78A7DD6431C3</vt:lpwstr>
  </property>
  <property fmtid="{D5CDD505-2E9C-101B-9397-08002B2CF9AE}" pid="5" name="MediaServiceImageTags">
    <vt:lpwstr/>
  </property>
</Properties>
</file>